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0EA17" w14:textId="77777777" w:rsidR="00C60BD6" w:rsidRPr="00A836B9" w:rsidRDefault="00C60BD6" w:rsidP="00C60BD6">
      <w:pPr>
        <w:spacing w:before="360" w:after="360"/>
        <w:jc w:val="center"/>
        <w:rPr>
          <w:rFonts w:cs="Times New Roman"/>
          <w:b/>
          <w:sz w:val="32"/>
          <w:szCs w:val="36"/>
        </w:rPr>
      </w:pPr>
    </w:p>
    <w:p w14:paraId="15915697" w14:textId="77777777" w:rsidR="00C60BD6" w:rsidRPr="00A836B9" w:rsidRDefault="00C60BD6" w:rsidP="490E705E">
      <w:pPr>
        <w:spacing w:before="360" w:after="360"/>
        <w:jc w:val="center"/>
        <w:rPr>
          <w:rFonts w:cs="Times New Roman"/>
          <w:b/>
          <w:bCs/>
          <w:sz w:val="32"/>
          <w:szCs w:val="32"/>
        </w:rPr>
      </w:pPr>
      <w:r w:rsidRPr="00A836B9">
        <w:rPr>
          <w:rFonts w:cs="Times New Roman"/>
          <w:b/>
          <w:bCs/>
          <w:sz w:val="32"/>
          <w:szCs w:val="32"/>
        </w:rPr>
        <w:t>EN</w:t>
      </w:r>
    </w:p>
    <w:p w14:paraId="35D7BD2E" w14:textId="77777777" w:rsidR="00C968A8" w:rsidRDefault="00C968A8" w:rsidP="490E705E">
      <w:pPr>
        <w:spacing w:before="360" w:after="360"/>
        <w:jc w:val="center"/>
        <w:rPr>
          <w:rFonts w:cs="Times New Roman"/>
          <w:b/>
          <w:bCs/>
          <w:sz w:val="32"/>
          <w:szCs w:val="32"/>
        </w:rPr>
      </w:pPr>
    </w:p>
    <w:p w14:paraId="1BC22FE3" w14:textId="0497279F" w:rsidR="00C60BD6" w:rsidRPr="00A836B9" w:rsidRDefault="00C60BD6" w:rsidP="490E705E">
      <w:pPr>
        <w:spacing w:before="360" w:after="360"/>
        <w:jc w:val="center"/>
        <w:rPr>
          <w:rFonts w:cs="Times New Roman"/>
          <w:b/>
          <w:bCs/>
          <w:sz w:val="32"/>
          <w:szCs w:val="32"/>
        </w:rPr>
      </w:pPr>
      <w:r w:rsidRPr="00A836B9">
        <w:rPr>
          <w:rFonts w:cs="Times New Roman"/>
          <w:b/>
          <w:bCs/>
          <w:sz w:val="32"/>
          <w:szCs w:val="32"/>
        </w:rPr>
        <w:t>Horizon Europe</w:t>
      </w:r>
    </w:p>
    <w:p w14:paraId="03B3E94A" w14:textId="77777777" w:rsidR="00C60BD6" w:rsidRPr="00A836B9" w:rsidRDefault="00C60BD6" w:rsidP="490E705E">
      <w:pPr>
        <w:spacing w:before="360" w:after="360"/>
        <w:jc w:val="center"/>
        <w:rPr>
          <w:rFonts w:cs="Times New Roman"/>
          <w:b/>
          <w:bCs/>
          <w:sz w:val="32"/>
          <w:szCs w:val="32"/>
        </w:rPr>
      </w:pPr>
      <w:r w:rsidRPr="00A836B9">
        <w:rPr>
          <w:rFonts w:cs="Times New Roman"/>
          <w:b/>
          <w:bCs/>
          <w:sz w:val="32"/>
          <w:szCs w:val="32"/>
        </w:rPr>
        <w:t>Work Programme 2021-2022</w:t>
      </w:r>
    </w:p>
    <w:p w14:paraId="28097CD9" w14:textId="3408B355" w:rsidR="00C60BD6" w:rsidRPr="00A836B9" w:rsidRDefault="00C60BD6" w:rsidP="490E705E">
      <w:pPr>
        <w:spacing w:before="840" w:after="840"/>
        <w:jc w:val="center"/>
        <w:rPr>
          <w:rFonts w:cs="Times New Roman"/>
          <w:i/>
          <w:iCs/>
          <w:sz w:val="32"/>
          <w:szCs w:val="32"/>
        </w:rPr>
      </w:pPr>
      <w:r w:rsidRPr="00A836B9">
        <w:rPr>
          <w:rFonts w:cs="Times New Roman"/>
          <w:i/>
          <w:iCs/>
          <w:sz w:val="32"/>
          <w:szCs w:val="32"/>
        </w:rPr>
        <w:t xml:space="preserve">13. General </w:t>
      </w:r>
      <w:r w:rsidR="00C40DC9" w:rsidRPr="00A836B9">
        <w:rPr>
          <w:rFonts w:cs="Times New Roman"/>
          <w:i/>
          <w:iCs/>
          <w:sz w:val="32"/>
          <w:szCs w:val="32"/>
        </w:rPr>
        <w:t>Annex</w:t>
      </w:r>
      <w:r w:rsidRPr="00A836B9">
        <w:rPr>
          <w:rFonts w:cs="Times New Roman"/>
          <w:i/>
          <w:iCs/>
          <w:sz w:val="32"/>
          <w:szCs w:val="32"/>
        </w:rPr>
        <w:t xml:space="preserve">es </w:t>
      </w:r>
    </w:p>
    <w:tbl>
      <w:tblPr>
        <w:tblW w:w="0" w:type="auto"/>
        <w:tblCellMar>
          <w:top w:w="115" w:type="dxa"/>
          <w:left w:w="115" w:type="dxa"/>
          <w:right w:w="115" w:type="dxa"/>
        </w:tblCellMar>
        <w:tblLook w:val="04A0" w:firstRow="1" w:lastRow="0" w:firstColumn="1" w:lastColumn="0" w:noHBand="0" w:noVBand="1"/>
      </w:tblPr>
      <w:tblGrid>
        <w:gridCol w:w="8500"/>
      </w:tblGrid>
      <w:tr w:rsidR="00046063" w:rsidRPr="00A836B9" w14:paraId="07979FCB" w14:textId="77777777" w:rsidTr="490E705E">
        <w:tc>
          <w:tcPr>
            <w:tcW w:w="8500" w:type="dxa"/>
          </w:tcPr>
          <w:p w14:paraId="279A5C6E" w14:textId="1A292E02" w:rsidR="00C60BD6" w:rsidRPr="00A836B9" w:rsidRDefault="00C60BD6" w:rsidP="490E705E">
            <w:pPr>
              <w:spacing w:after="120"/>
              <w:rPr>
                <w:b/>
                <w:bCs/>
                <w:sz w:val="22"/>
              </w:rPr>
            </w:pPr>
            <w:bookmarkStart w:id="0" w:name="_GoBack"/>
            <w:bookmarkEnd w:id="0"/>
          </w:p>
        </w:tc>
      </w:tr>
      <w:tr w:rsidR="00907736" w:rsidRPr="00C60BD6" w14:paraId="27728ADA" w14:textId="77777777" w:rsidTr="00907736">
        <w:tc>
          <w:tcPr>
            <w:tcW w:w="8500" w:type="dxa"/>
            <w:tcBorders>
              <w:bottom w:val="single" w:sz="4" w:space="0" w:color="auto"/>
            </w:tcBorders>
          </w:tcPr>
          <w:p w14:paraId="4D433C71" w14:textId="77777777" w:rsidR="00907736" w:rsidRPr="00C60BD6" w:rsidRDefault="00907736" w:rsidP="00BD3BA9">
            <w:pPr>
              <w:spacing w:after="120"/>
              <w:rPr>
                <w:b/>
                <w:bCs/>
                <w:sz w:val="22"/>
              </w:rPr>
            </w:pPr>
          </w:p>
        </w:tc>
      </w:tr>
      <w:tr w:rsidR="00907736" w:rsidRPr="002F4C86" w14:paraId="4DB648F5" w14:textId="77777777" w:rsidTr="00907736">
        <w:tc>
          <w:tcPr>
            <w:tcW w:w="8500" w:type="dxa"/>
            <w:tcBorders>
              <w:top w:val="single" w:sz="4" w:space="0" w:color="auto"/>
              <w:left w:val="single" w:sz="4" w:space="0" w:color="auto"/>
              <w:bottom w:val="single" w:sz="4" w:space="0" w:color="auto"/>
              <w:right w:val="single" w:sz="4" w:space="0" w:color="auto"/>
            </w:tcBorders>
          </w:tcPr>
          <w:p w14:paraId="704591D4" w14:textId="77777777" w:rsidR="00907736" w:rsidRPr="002F4C86" w:rsidRDefault="00907736" w:rsidP="00907736">
            <w:pPr>
              <w:spacing w:after="120"/>
              <w:jc w:val="center"/>
              <w:rPr>
                <w:b/>
                <w:bCs/>
                <w:sz w:val="22"/>
              </w:rPr>
            </w:pPr>
            <w:r w:rsidRPr="002F4C86">
              <w:rPr>
                <w:b/>
                <w:bCs/>
                <w:sz w:val="22"/>
              </w:rPr>
              <w:t>DISCLAIMER</w:t>
            </w:r>
          </w:p>
          <w:p w14:paraId="37F85A8B" w14:textId="77777777" w:rsidR="00907736" w:rsidRPr="00907736" w:rsidRDefault="00907736" w:rsidP="00907736">
            <w:pPr>
              <w:spacing w:after="120"/>
              <w:jc w:val="center"/>
              <w:rPr>
                <w:b/>
                <w:bCs/>
                <w:sz w:val="22"/>
              </w:rPr>
            </w:pPr>
            <w:r w:rsidRPr="00907736">
              <w:rPr>
                <w:b/>
                <w:bCs/>
                <w:sz w:val="22"/>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7E6DAB39" w14:textId="4846D143" w:rsidR="00C60BD6" w:rsidRPr="00A836B9" w:rsidRDefault="00C60BD6" w:rsidP="490E705E">
      <w:pPr>
        <w:spacing w:before="840" w:after="840"/>
        <w:jc w:val="center"/>
        <w:rPr>
          <w:rFonts w:cs="Times New Roman"/>
          <w:i/>
          <w:iCs/>
          <w:sz w:val="28"/>
          <w:szCs w:val="28"/>
        </w:rPr>
      </w:pPr>
    </w:p>
    <w:p w14:paraId="504EA856" w14:textId="77777777" w:rsidR="00C60BD6" w:rsidRPr="00A836B9" w:rsidRDefault="00C60BD6" w:rsidP="00C60BD6">
      <w:pPr>
        <w:spacing w:after="0" w:line="240" w:lineRule="auto"/>
        <w:ind w:left="720"/>
        <w:rPr>
          <w:sz w:val="20"/>
        </w:rPr>
      </w:pPr>
    </w:p>
    <w:sdt>
      <w:sdtPr>
        <w:id w:val="-1422096267"/>
        <w:docPartObj>
          <w:docPartGallery w:val="Table of Contents"/>
          <w:docPartUnique/>
        </w:docPartObj>
      </w:sdtPr>
      <w:sdtEndPr>
        <w:rPr>
          <w:noProof/>
        </w:rPr>
      </w:sdtEndPr>
      <w:sdtContent>
        <w:p w14:paraId="749CC42E" w14:textId="77777777" w:rsidR="00C60BD6" w:rsidRPr="00A836B9" w:rsidRDefault="00C60BD6" w:rsidP="00C60BD6">
          <w:pPr>
            <w:jc w:val="left"/>
            <w:rPr>
              <w:b/>
              <w:u w:val="single"/>
              <w:lang w:eastAsia="ja-JP"/>
            </w:rPr>
          </w:pPr>
          <w:r w:rsidRPr="00A836B9">
            <w:rPr>
              <w:b/>
              <w:u w:val="single"/>
              <w:lang w:eastAsia="ja-JP"/>
            </w:rPr>
            <w:br w:type="page"/>
          </w:r>
        </w:p>
        <w:p w14:paraId="3D1F09DA" w14:textId="77777777" w:rsidR="00C60BD6" w:rsidRPr="00A836B9" w:rsidRDefault="00C60BD6" w:rsidP="00C60BD6">
          <w:pPr>
            <w:jc w:val="left"/>
            <w:rPr>
              <w:b/>
              <w:sz w:val="28"/>
              <w:u w:val="single"/>
              <w:lang w:eastAsia="ja-JP"/>
            </w:rPr>
          </w:pPr>
          <w:r w:rsidRPr="00A836B9">
            <w:rPr>
              <w:b/>
              <w:sz w:val="28"/>
              <w:u w:val="single"/>
              <w:lang w:eastAsia="ja-JP"/>
            </w:rPr>
            <w:lastRenderedPageBreak/>
            <w:t>Table of contents</w:t>
          </w:r>
        </w:p>
        <w:p w14:paraId="200EAC3F" w14:textId="4296D481" w:rsidR="003569E8" w:rsidRPr="003569E8" w:rsidRDefault="00C60BD6">
          <w:pPr>
            <w:pStyle w:val="TOC1"/>
            <w:rPr>
              <w:rFonts w:asciiTheme="minorHAnsi" w:hAnsiTheme="minorHAnsi"/>
              <w:b w:val="0"/>
              <w:sz w:val="22"/>
              <w:szCs w:val="22"/>
              <w:u w:val="none"/>
              <w:lang w:val="en-GB"/>
            </w:rPr>
          </w:pPr>
          <w:r w:rsidRPr="00567817">
            <w:rPr>
              <w:b w:val="0"/>
              <w:lang w:val="en-GB"/>
            </w:rPr>
            <w:fldChar w:fldCharType="begin"/>
          </w:r>
          <w:r w:rsidRPr="00567817">
            <w:rPr>
              <w:b w:val="0"/>
              <w:lang w:val="en-GB"/>
            </w:rPr>
            <w:instrText xml:space="preserve"> TOC \o "1-3" \h \z \u </w:instrText>
          </w:r>
          <w:r w:rsidRPr="00567817">
            <w:rPr>
              <w:b w:val="0"/>
              <w:lang w:val="en-GB"/>
            </w:rPr>
            <w:fldChar w:fldCharType="separate"/>
          </w:r>
          <w:hyperlink w:anchor="_Toc66355165" w:history="1">
            <w:r w:rsidR="003569E8" w:rsidRPr="003569E8">
              <w:rPr>
                <w:rStyle w:val="Hyperlink"/>
                <w:b w:val="0"/>
                <w:bCs/>
              </w:rPr>
              <w:t>INTRODUCTION</w:t>
            </w:r>
            <w:r w:rsidR="003569E8" w:rsidRPr="003569E8">
              <w:rPr>
                <w:b w:val="0"/>
                <w:webHidden/>
              </w:rPr>
              <w:tab/>
            </w:r>
            <w:r w:rsidR="003569E8" w:rsidRPr="003569E8">
              <w:rPr>
                <w:b w:val="0"/>
                <w:webHidden/>
              </w:rPr>
              <w:fldChar w:fldCharType="begin"/>
            </w:r>
            <w:r w:rsidR="003569E8" w:rsidRPr="003569E8">
              <w:rPr>
                <w:b w:val="0"/>
                <w:webHidden/>
              </w:rPr>
              <w:instrText xml:space="preserve"> PAGEREF _Toc66355165 \h </w:instrText>
            </w:r>
            <w:r w:rsidR="003569E8" w:rsidRPr="003569E8">
              <w:rPr>
                <w:b w:val="0"/>
                <w:webHidden/>
              </w:rPr>
            </w:r>
            <w:r w:rsidR="003569E8" w:rsidRPr="003569E8">
              <w:rPr>
                <w:b w:val="0"/>
                <w:webHidden/>
              </w:rPr>
              <w:fldChar w:fldCharType="separate"/>
            </w:r>
            <w:r w:rsidR="003569E8" w:rsidRPr="003569E8">
              <w:rPr>
                <w:b w:val="0"/>
                <w:webHidden/>
              </w:rPr>
              <w:t>3</w:t>
            </w:r>
            <w:r w:rsidR="003569E8" w:rsidRPr="003569E8">
              <w:rPr>
                <w:b w:val="0"/>
                <w:webHidden/>
              </w:rPr>
              <w:fldChar w:fldCharType="end"/>
            </w:r>
          </w:hyperlink>
        </w:p>
        <w:p w14:paraId="6DF2BCAF" w14:textId="2F42F6C6" w:rsidR="003569E8" w:rsidRPr="003569E8" w:rsidRDefault="00907736">
          <w:pPr>
            <w:pStyle w:val="TOC1"/>
            <w:rPr>
              <w:rFonts w:asciiTheme="minorHAnsi" w:hAnsiTheme="minorHAnsi"/>
              <w:b w:val="0"/>
              <w:sz w:val="22"/>
              <w:szCs w:val="22"/>
              <w:u w:val="none"/>
              <w:lang w:val="en-GB"/>
            </w:rPr>
          </w:pPr>
          <w:hyperlink w:anchor="_Toc66355166" w:history="1">
            <w:r w:rsidR="003569E8" w:rsidRPr="003569E8">
              <w:rPr>
                <w:rStyle w:val="Hyperlink"/>
                <w:b w:val="0"/>
                <w:bCs/>
              </w:rPr>
              <w:t>GENERAL CONDITIONS</w:t>
            </w:r>
            <w:r w:rsidR="003569E8" w:rsidRPr="003569E8">
              <w:rPr>
                <w:b w:val="0"/>
                <w:webHidden/>
              </w:rPr>
              <w:tab/>
            </w:r>
            <w:r w:rsidR="003569E8" w:rsidRPr="003569E8">
              <w:rPr>
                <w:b w:val="0"/>
                <w:webHidden/>
              </w:rPr>
              <w:fldChar w:fldCharType="begin"/>
            </w:r>
            <w:r w:rsidR="003569E8" w:rsidRPr="003569E8">
              <w:rPr>
                <w:b w:val="0"/>
                <w:webHidden/>
              </w:rPr>
              <w:instrText xml:space="preserve"> PAGEREF _Toc66355166 \h </w:instrText>
            </w:r>
            <w:r w:rsidR="003569E8" w:rsidRPr="003569E8">
              <w:rPr>
                <w:b w:val="0"/>
                <w:webHidden/>
              </w:rPr>
            </w:r>
            <w:r w:rsidR="003569E8" w:rsidRPr="003569E8">
              <w:rPr>
                <w:b w:val="0"/>
                <w:webHidden/>
              </w:rPr>
              <w:fldChar w:fldCharType="separate"/>
            </w:r>
            <w:r w:rsidR="003569E8" w:rsidRPr="003569E8">
              <w:rPr>
                <w:b w:val="0"/>
                <w:webHidden/>
              </w:rPr>
              <w:t>4</w:t>
            </w:r>
            <w:r w:rsidR="003569E8" w:rsidRPr="003569E8">
              <w:rPr>
                <w:b w:val="0"/>
                <w:webHidden/>
              </w:rPr>
              <w:fldChar w:fldCharType="end"/>
            </w:r>
          </w:hyperlink>
        </w:p>
        <w:p w14:paraId="143D7093" w14:textId="51297117" w:rsidR="003569E8" w:rsidRPr="003569E8" w:rsidRDefault="00907736">
          <w:pPr>
            <w:pStyle w:val="TOC2"/>
            <w:tabs>
              <w:tab w:val="right" w:leader="dot" w:pos="9062"/>
            </w:tabs>
            <w:rPr>
              <w:rFonts w:asciiTheme="minorHAnsi" w:hAnsiTheme="minorHAnsi"/>
              <w:b w:val="0"/>
              <w:bCs w:val="0"/>
              <w:noProof/>
              <w:sz w:val="22"/>
              <w:szCs w:val="22"/>
            </w:rPr>
          </w:pPr>
          <w:hyperlink w:anchor="_Toc66355167" w:history="1">
            <w:r w:rsidR="003569E8" w:rsidRPr="003569E8">
              <w:rPr>
                <w:rStyle w:val="Hyperlink"/>
                <w:rFonts w:eastAsiaTheme="majorEastAsia" w:cs="Times New Roman"/>
                <w:b w:val="0"/>
                <w:noProof/>
              </w:rPr>
              <w:t>A — Admissibility</w:t>
            </w:r>
            <w:r w:rsidR="003569E8" w:rsidRPr="003569E8">
              <w:rPr>
                <w:b w:val="0"/>
                <w:noProof/>
                <w:webHidden/>
              </w:rPr>
              <w:tab/>
            </w:r>
            <w:r w:rsidR="003569E8" w:rsidRPr="003569E8">
              <w:rPr>
                <w:b w:val="0"/>
                <w:noProof/>
                <w:webHidden/>
              </w:rPr>
              <w:fldChar w:fldCharType="begin"/>
            </w:r>
            <w:r w:rsidR="003569E8" w:rsidRPr="003569E8">
              <w:rPr>
                <w:b w:val="0"/>
                <w:noProof/>
                <w:webHidden/>
              </w:rPr>
              <w:instrText xml:space="preserve"> PAGEREF _Toc66355167 \h </w:instrText>
            </w:r>
            <w:r w:rsidR="003569E8" w:rsidRPr="003569E8">
              <w:rPr>
                <w:b w:val="0"/>
                <w:noProof/>
                <w:webHidden/>
              </w:rPr>
            </w:r>
            <w:r w:rsidR="003569E8" w:rsidRPr="003569E8">
              <w:rPr>
                <w:b w:val="0"/>
                <w:noProof/>
                <w:webHidden/>
              </w:rPr>
              <w:fldChar w:fldCharType="separate"/>
            </w:r>
            <w:r w:rsidR="003569E8" w:rsidRPr="003569E8">
              <w:rPr>
                <w:b w:val="0"/>
                <w:noProof/>
                <w:webHidden/>
              </w:rPr>
              <w:t>4</w:t>
            </w:r>
            <w:r w:rsidR="003569E8" w:rsidRPr="003569E8">
              <w:rPr>
                <w:b w:val="0"/>
                <w:noProof/>
                <w:webHidden/>
              </w:rPr>
              <w:fldChar w:fldCharType="end"/>
            </w:r>
          </w:hyperlink>
        </w:p>
        <w:p w14:paraId="14147991" w14:textId="4BE3A100" w:rsidR="003569E8" w:rsidRPr="003569E8" w:rsidRDefault="00907736">
          <w:pPr>
            <w:pStyle w:val="TOC2"/>
            <w:tabs>
              <w:tab w:val="right" w:leader="dot" w:pos="9062"/>
            </w:tabs>
            <w:rPr>
              <w:rFonts w:asciiTheme="minorHAnsi" w:hAnsiTheme="minorHAnsi"/>
              <w:b w:val="0"/>
              <w:bCs w:val="0"/>
              <w:noProof/>
              <w:sz w:val="22"/>
              <w:szCs w:val="22"/>
            </w:rPr>
          </w:pPr>
          <w:hyperlink w:anchor="_Toc66355168" w:history="1">
            <w:r w:rsidR="003569E8" w:rsidRPr="003569E8">
              <w:rPr>
                <w:rStyle w:val="Hyperlink"/>
                <w:rFonts w:eastAsiaTheme="majorEastAsia" w:cs="Times New Roman"/>
                <w:b w:val="0"/>
                <w:noProof/>
              </w:rPr>
              <w:t>B — Eligibility</w:t>
            </w:r>
            <w:r w:rsidR="003569E8" w:rsidRPr="003569E8">
              <w:rPr>
                <w:b w:val="0"/>
                <w:noProof/>
                <w:webHidden/>
              </w:rPr>
              <w:tab/>
            </w:r>
            <w:r w:rsidR="003569E8" w:rsidRPr="003569E8">
              <w:rPr>
                <w:b w:val="0"/>
                <w:noProof/>
                <w:webHidden/>
              </w:rPr>
              <w:fldChar w:fldCharType="begin"/>
            </w:r>
            <w:r w:rsidR="003569E8" w:rsidRPr="003569E8">
              <w:rPr>
                <w:b w:val="0"/>
                <w:noProof/>
                <w:webHidden/>
              </w:rPr>
              <w:instrText xml:space="preserve"> PAGEREF _Toc66355168 \h </w:instrText>
            </w:r>
            <w:r w:rsidR="003569E8" w:rsidRPr="003569E8">
              <w:rPr>
                <w:b w:val="0"/>
                <w:noProof/>
                <w:webHidden/>
              </w:rPr>
            </w:r>
            <w:r w:rsidR="003569E8" w:rsidRPr="003569E8">
              <w:rPr>
                <w:b w:val="0"/>
                <w:noProof/>
                <w:webHidden/>
              </w:rPr>
              <w:fldChar w:fldCharType="separate"/>
            </w:r>
            <w:r w:rsidR="003569E8" w:rsidRPr="003569E8">
              <w:rPr>
                <w:b w:val="0"/>
                <w:noProof/>
                <w:webHidden/>
              </w:rPr>
              <w:t>5</w:t>
            </w:r>
            <w:r w:rsidR="003569E8" w:rsidRPr="003569E8">
              <w:rPr>
                <w:b w:val="0"/>
                <w:noProof/>
                <w:webHidden/>
              </w:rPr>
              <w:fldChar w:fldCharType="end"/>
            </w:r>
          </w:hyperlink>
        </w:p>
        <w:p w14:paraId="7088720F" w14:textId="6AED5C89" w:rsidR="003569E8" w:rsidRPr="003569E8" w:rsidRDefault="00907736">
          <w:pPr>
            <w:pStyle w:val="TOC2"/>
            <w:tabs>
              <w:tab w:val="right" w:leader="dot" w:pos="9062"/>
            </w:tabs>
            <w:rPr>
              <w:rFonts w:asciiTheme="minorHAnsi" w:hAnsiTheme="minorHAnsi"/>
              <w:b w:val="0"/>
              <w:bCs w:val="0"/>
              <w:noProof/>
              <w:sz w:val="22"/>
              <w:szCs w:val="22"/>
            </w:rPr>
          </w:pPr>
          <w:hyperlink w:anchor="_Toc66355169" w:history="1">
            <w:r w:rsidR="003569E8" w:rsidRPr="003569E8">
              <w:rPr>
                <w:rStyle w:val="Hyperlink"/>
                <w:rFonts w:eastAsiaTheme="majorEastAsia" w:cs="Times New Roman"/>
                <w:b w:val="0"/>
                <w:noProof/>
              </w:rPr>
              <w:t>C — Financial and operational capacity and exclusion</w:t>
            </w:r>
            <w:r w:rsidR="003569E8" w:rsidRPr="003569E8">
              <w:rPr>
                <w:b w:val="0"/>
                <w:noProof/>
                <w:webHidden/>
              </w:rPr>
              <w:tab/>
            </w:r>
            <w:r w:rsidR="003569E8" w:rsidRPr="003569E8">
              <w:rPr>
                <w:b w:val="0"/>
                <w:noProof/>
                <w:webHidden/>
              </w:rPr>
              <w:fldChar w:fldCharType="begin"/>
            </w:r>
            <w:r w:rsidR="003569E8" w:rsidRPr="003569E8">
              <w:rPr>
                <w:b w:val="0"/>
                <w:noProof/>
                <w:webHidden/>
              </w:rPr>
              <w:instrText xml:space="preserve"> PAGEREF _Toc66355169 \h </w:instrText>
            </w:r>
            <w:r w:rsidR="003569E8" w:rsidRPr="003569E8">
              <w:rPr>
                <w:b w:val="0"/>
                <w:noProof/>
                <w:webHidden/>
              </w:rPr>
            </w:r>
            <w:r w:rsidR="003569E8" w:rsidRPr="003569E8">
              <w:rPr>
                <w:b w:val="0"/>
                <w:noProof/>
                <w:webHidden/>
              </w:rPr>
              <w:fldChar w:fldCharType="separate"/>
            </w:r>
            <w:r w:rsidR="003569E8" w:rsidRPr="003569E8">
              <w:rPr>
                <w:b w:val="0"/>
                <w:noProof/>
                <w:webHidden/>
              </w:rPr>
              <w:t>15</w:t>
            </w:r>
            <w:r w:rsidR="003569E8" w:rsidRPr="003569E8">
              <w:rPr>
                <w:b w:val="0"/>
                <w:noProof/>
                <w:webHidden/>
              </w:rPr>
              <w:fldChar w:fldCharType="end"/>
            </w:r>
          </w:hyperlink>
        </w:p>
        <w:p w14:paraId="3D8CA71B" w14:textId="696E6465" w:rsidR="003569E8" w:rsidRPr="003569E8" w:rsidRDefault="00907736">
          <w:pPr>
            <w:pStyle w:val="TOC2"/>
            <w:tabs>
              <w:tab w:val="right" w:leader="dot" w:pos="9062"/>
            </w:tabs>
            <w:rPr>
              <w:rFonts w:asciiTheme="minorHAnsi" w:hAnsiTheme="minorHAnsi"/>
              <w:b w:val="0"/>
              <w:bCs w:val="0"/>
              <w:noProof/>
              <w:sz w:val="22"/>
              <w:szCs w:val="22"/>
            </w:rPr>
          </w:pPr>
          <w:hyperlink w:anchor="_Toc66355170" w:history="1">
            <w:r w:rsidR="003569E8" w:rsidRPr="003569E8">
              <w:rPr>
                <w:rStyle w:val="Hyperlink"/>
                <w:rFonts w:eastAsiaTheme="majorEastAsia" w:cs="Times New Roman"/>
                <w:b w:val="0"/>
                <w:noProof/>
              </w:rPr>
              <w:t>D — Award criteria</w:t>
            </w:r>
            <w:r w:rsidR="003569E8" w:rsidRPr="003569E8">
              <w:rPr>
                <w:b w:val="0"/>
                <w:noProof/>
                <w:webHidden/>
              </w:rPr>
              <w:tab/>
            </w:r>
            <w:r w:rsidR="003569E8" w:rsidRPr="003569E8">
              <w:rPr>
                <w:b w:val="0"/>
                <w:noProof/>
                <w:webHidden/>
              </w:rPr>
              <w:fldChar w:fldCharType="begin"/>
            </w:r>
            <w:r w:rsidR="003569E8" w:rsidRPr="003569E8">
              <w:rPr>
                <w:b w:val="0"/>
                <w:noProof/>
                <w:webHidden/>
              </w:rPr>
              <w:instrText xml:space="preserve"> PAGEREF _Toc66355170 \h </w:instrText>
            </w:r>
            <w:r w:rsidR="003569E8" w:rsidRPr="003569E8">
              <w:rPr>
                <w:b w:val="0"/>
                <w:noProof/>
                <w:webHidden/>
              </w:rPr>
            </w:r>
            <w:r w:rsidR="003569E8" w:rsidRPr="003569E8">
              <w:rPr>
                <w:b w:val="0"/>
                <w:noProof/>
                <w:webHidden/>
              </w:rPr>
              <w:fldChar w:fldCharType="separate"/>
            </w:r>
            <w:r w:rsidR="003569E8" w:rsidRPr="003569E8">
              <w:rPr>
                <w:b w:val="0"/>
                <w:noProof/>
                <w:webHidden/>
              </w:rPr>
              <w:t>18</w:t>
            </w:r>
            <w:r w:rsidR="003569E8" w:rsidRPr="003569E8">
              <w:rPr>
                <w:b w:val="0"/>
                <w:noProof/>
                <w:webHidden/>
              </w:rPr>
              <w:fldChar w:fldCharType="end"/>
            </w:r>
          </w:hyperlink>
        </w:p>
        <w:p w14:paraId="57F381D0" w14:textId="6FC2527D" w:rsidR="003569E8" w:rsidRPr="003569E8" w:rsidRDefault="00907736">
          <w:pPr>
            <w:pStyle w:val="TOC2"/>
            <w:tabs>
              <w:tab w:val="right" w:leader="dot" w:pos="9062"/>
            </w:tabs>
            <w:rPr>
              <w:rFonts w:asciiTheme="minorHAnsi" w:hAnsiTheme="minorHAnsi"/>
              <w:b w:val="0"/>
              <w:bCs w:val="0"/>
              <w:noProof/>
              <w:sz w:val="22"/>
              <w:szCs w:val="22"/>
            </w:rPr>
          </w:pPr>
          <w:hyperlink w:anchor="_Toc66355171" w:history="1">
            <w:r w:rsidR="003569E8" w:rsidRPr="003569E8">
              <w:rPr>
                <w:rStyle w:val="Hyperlink"/>
                <w:rFonts w:eastAsiaTheme="majorEastAsia" w:cs="Times New Roman"/>
                <w:b w:val="0"/>
                <w:noProof/>
              </w:rPr>
              <w:t>E — Documents</w:t>
            </w:r>
            <w:r w:rsidR="003569E8" w:rsidRPr="003569E8">
              <w:rPr>
                <w:b w:val="0"/>
                <w:noProof/>
                <w:webHidden/>
              </w:rPr>
              <w:tab/>
            </w:r>
            <w:r w:rsidR="003569E8" w:rsidRPr="003569E8">
              <w:rPr>
                <w:b w:val="0"/>
                <w:noProof/>
                <w:webHidden/>
              </w:rPr>
              <w:fldChar w:fldCharType="begin"/>
            </w:r>
            <w:r w:rsidR="003569E8" w:rsidRPr="003569E8">
              <w:rPr>
                <w:b w:val="0"/>
                <w:noProof/>
                <w:webHidden/>
              </w:rPr>
              <w:instrText xml:space="preserve"> PAGEREF _Toc66355171 \h </w:instrText>
            </w:r>
            <w:r w:rsidR="003569E8" w:rsidRPr="003569E8">
              <w:rPr>
                <w:b w:val="0"/>
                <w:noProof/>
                <w:webHidden/>
              </w:rPr>
            </w:r>
            <w:r w:rsidR="003569E8" w:rsidRPr="003569E8">
              <w:rPr>
                <w:b w:val="0"/>
                <w:noProof/>
                <w:webHidden/>
              </w:rPr>
              <w:fldChar w:fldCharType="separate"/>
            </w:r>
            <w:r w:rsidR="003569E8" w:rsidRPr="003569E8">
              <w:rPr>
                <w:b w:val="0"/>
                <w:noProof/>
                <w:webHidden/>
              </w:rPr>
              <w:t>22</w:t>
            </w:r>
            <w:r w:rsidR="003569E8" w:rsidRPr="003569E8">
              <w:rPr>
                <w:b w:val="0"/>
                <w:noProof/>
                <w:webHidden/>
              </w:rPr>
              <w:fldChar w:fldCharType="end"/>
            </w:r>
          </w:hyperlink>
        </w:p>
        <w:p w14:paraId="33C7DB96" w14:textId="5C5A470A" w:rsidR="003569E8" w:rsidRPr="003569E8" w:rsidRDefault="00907736">
          <w:pPr>
            <w:pStyle w:val="TOC2"/>
            <w:tabs>
              <w:tab w:val="right" w:leader="dot" w:pos="9062"/>
            </w:tabs>
            <w:rPr>
              <w:rFonts w:asciiTheme="minorHAnsi" w:hAnsiTheme="minorHAnsi"/>
              <w:b w:val="0"/>
              <w:bCs w:val="0"/>
              <w:noProof/>
              <w:sz w:val="22"/>
              <w:szCs w:val="22"/>
            </w:rPr>
          </w:pPr>
          <w:hyperlink w:anchor="_Toc66355172" w:history="1">
            <w:r w:rsidR="003569E8" w:rsidRPr="003569E8">
              <w:rPr>
                <w:rStyle w:val="Hyperlink"/>
                <w:rFonts w:eastAsiaTheme="majorEastAsia" w:cs="Times New Roman"/>
                <w:b w:val="0"/>
                <w:noProof/>
              </w:rPr>
              <w:t>F — Procedure</w:t>
            </w:r>
            <w:r w:rsidR="003569E8" w:rsidRPr="003569E8">
              <w:rPr>
                <w:b w:val="0"/>
                <w:noProof/>
                <w:webHidden/>
              </w:rPr>
              <w:tab/>
            </w:r>
            <w:r w:rsidR="003569E8" w:rsidRPr="003569E8">
              <w:rPr>
                <w:b w:val="0"/>
                <w:noProof/>
                <w:webHidden/>
              </w:rPr>
              <w:fldChar w:fldCharType="begin"/>
            </w:r>
            <w:r w:rsidR="003569E8" w:rsidRPr="003569E8">
              <w:rPr>
                <w:b w:val="0"/>
                <w:noProof/>
                <w:webHidden/>
              </w:rPr>
              <w:instrText xml:space="preserve"> PAGEREF _Toc66355172 \h </w:instrText>
            </w:r>
            <w:r w:rsidR="003569E8" w:rsidRPr="003569E8">
              <w:rPr>
                <w:b w:val="0"/>
                <w:noProof/>
                <w:webHidden/>
              </w:rPr>
            </w:r>
            <w:r w:rsidR="003569E8" w:rsidRPr="003569E8">
              <w:rPr>
                <w:b w:val="0"/>
                <w:noProof/>
                <w:webHidden/>
              </w:rPr>
              <w:fldChar w:fldCharType="separate"/>
            </w:r>
            <w:r w:rsidR="003569E8" w:rsidRPr="003569E8">
              <w:rPr>
                <w:b w:val="0"/>
                <w:noProof/>
                <w:webHidden/>
              </w:rPr>
              <w:t>23</w:t>
            </w:r>
            <w:r w:rsidR="003569E8" w:rsidRPr="003569E8">
              <w:rPr>
                <w:b w:val="0"/>
                <w:noProof/>
                <w:webHidden/>
              </w:rPr>
              <w:fldChar w:fldCharType="end"/>
            </w:r>
          </w:hyperlink>
        </w:p>
        <w:p w14:paraId="153FC6DD" w14:textId="273278B1" w:rsidR="003569E8" w:rsidRPr="003569E8" w:rsidRDefault="00907736">
          <w:pPr>
            <w:pStyle w:val="TOC2"/>
            <w:tabs>
              <w:tab w:val="right" w:leader="dot" w:pos="9062"/>
            </w:tabs>
            <w:rPr>
              <w:rFonts w:asciiTheme="minorHAnsi" w:hAnsiTheme="minorHAnsi"/>
              <w:b w:val="0"/>
              <w:bCs w:val="0"/>
              <w:noProof/>
              <w:sz w:val="22"/>
              <w:szCs w:val="22"/>
            </w:rPr>
          </w:pPr>
          <w:hyperlink w:anchor="_Toc66355173" w:history="1">
            <w:r w:rsidR="003569E8" w:rsidRPr="003569E8">
              <w:rPr>
                <w:rStyle w:val="Hyperlink"/>
                <w:rFonts w:eastAsiaTheme="majorEastAsia" w:cs="Times New Roman"/>
                <w:b w:val="0"/>
                <w:noProof/>
              </w:rPr>
              <w:t>G — Legal and financial set-up of the grant agreements</w:t>
            </w:r>
            <w:r w:rsidR="003569E8" w:rsidRPr="003569E8">
              <w:rPr>
                <w:b w:val="0"/>
                <w:noProof/>
                <w:webHidden/>
              </w:rPr>
              <w:tab/>
            </w:r>
            <w:r w:rsidR="003569E8" w:rsidRPr="003569E8">
              <w:rPr>
                <w:b w:val="0"/>
                <w:noProof/>
                <w:webHidden/>
              </w:rPr>
              <w:fldChar w:fldCharType="begin"/>
            </w:r>
            <w:r w:rsidR="003569E8" w:rsidRPr="003569E8">
              <w:rPr>
                <w:b w:val="0"/>
                <w:noProof/>
                <w:webHidden/>
              </w:rPr>
              <w:instrText xml:space="preserve"> PAGEREF _Toc66355173 \h </w:instrText>
            </w:r>
            <w:r w:rsidR="003569E8" w:rsidRPr="003569E8">
              <w:rPr>
                <w:b w:val="0"/>
                <w:noProof/>
                <w:webHidden/>
              </w:rPr>
            </w:r>
            <w:r w:rsidR="003569E8" w:rsidRPr="003569E8">
              <w:rPr>
                <w:b w:val="0"/>
                <w:noProof/>
                <w:webHidden/>
              </w:rPr>
              <w:fldChar w:fldCharType="separate"/>
            </w:r>
            <w:r w:rsidR="003569E8" w:rsidRPr="003569E8">
              <w:rPr>
                <w:b w:val="0"/>
                <w:noProof/>
                <w:webHidden/>
              </w:rPr>
              <w:t>26</w:t>
            </w:r>
            <w:r w:rsidR="003569E8" w:rsidRPr="003569E8">
              <w:rPr>
                <w:b w:val="0"/>
                <w:noProof/>
                <w:webHidden/>
              </w:rPr>
              <w:fldChar w:fldCharType="end"/>
            </w:r>
          </w:hyperlink>
        </w:p>
        <w:p w14:paraId="4ABCB6B2" w14:textId="18925362" w:rsidR="003569E8" w:rsidRPr="003569E8" w:rsidRDefault="00907736">
          <w:pPr>
            <w:pStyle w:val="TOC1"/>
            <w:rPr>
              <w:rFonts w:asciiTheme="minorHAnsi" w:hAnsiTheme="minorHAnsi"/>
              <w:b w:val="0"/>
              <w:sz w:val="22"/>
              <w:szCs w:val="22"/>
              <w:u w:val="none"/>
              <w:lang w:val="en-GB"/>
            </w:rPr>
          </w:pPr>
          <w:hyperlink w:anchor="_Toc66355174" w:history="1">
            <w:r w:rsidR="003569E8" w:rsidRPr="003569E8">
              <w:rPr>
                <w:rStyle w:val="Hyperlink"/>
                <w:b w:val="0"/>
                <w:bCs/>
              </w:rPr>
              <w:t>SPECIFIC CONDITIONS FOR ACTIONS WITH PCP/PPI</w:t>
            </w:r>
            <w:r w:rsidR="003569E8" w:rsidRPr="003569E8">
              <w:rPr>
                <w:b w:val="0"/>
                <w:webHidden/>
              </w:rPr>
              <w:tab/>
            </w:r>
            <w:r w:rsidR="003569E8" w:rsidRPr="003569E8">
              <w:rPr>
                <w:b w:val="0"/>
                <w:webHidden/>
              </w:rPr>
              <w:fldChar w:fldCharType="begin"/>
            </w:r>
            <w:r w:rsidR="003569E8" w:rsidRPr="003569E8">
              <w:rPr>
                <w:b w:val="0"/>
                <w:webHidden/>
              </w:rPr>
              <w:instrText xml:space="preserve"> PAGEREF _Toc66355174 \h </w:instrText>
            </w:r>
            <w:r w:rsidR="003569E8" w:rsidRPr="003569E8">
              <w:rPr>
                <w:b w:val="0"/>
                <w:webHidden/>
              </w:rPr>
            </w:r>
            <w:r w:rsidR="003569E8" w:rsidRPr="003569E8">
              <w:rPr>
                <w:b w:val="0"/>
                <w:webHidden/>
              </w:rPr>
              <w:fldChar w:fldCharType="separate"/>
            </w:r>
            <w:r w:rsidR="003569E8" w:rsidRPr="003569E8">
              <w:rPr>
                <w:b w:val="0"/>
                <w:webHidden/>
              </w:rPr>
              <w:t>33</w:t>
            </w:r>
            <w:r w:rsidR="003569E8" w:rsidRPr="003569E8">
              <w:rPr>
                <w:b w:val="0"/>
                <w:webHidden/>
              </w:rPr>
              <w:fldChar w:fldCharType="end"/>
            </w:r>
          </w:hyperlink>
        </w:p>
        <w:p w14:paraId="44B99D29" w14:textId="503F6F80" w:rsidR="003569E8" w:rsidRDefault="00907736">
          <w:pPr>
            <w:pStyle w:val="TOC2"/>
            <w:tabs>
              <w:tab w:val="right" w:leader="dot" w:pos="9062"/>
            </w:tabs>
            <w:rPr>
              <w:rFonts w:asciiTheme="minorHAnsi" w:hAnsiTheme="minorHAnsi"/>
              <w:b w:val="0"/>
              <w:bCs w:val="0"/>
              <w:noProof/>
              <w:sz w:val="22"/>
              <w:szCs w:val="22"/>
            </w:rPr>
          </w:pPr>
          <w:hyperlink w:anchor="_Toc66355175" w:history="1">
            <w:r w:rsidR="003569E8" w:rsidRPr="003569E8">
              <w:rPr>
                <w:rStyle w:val="Hyperlink"/>
                <w:rFonts w:eastAsiaTheme="majorEastAsia" w:cs="Times New Roman"/>
                <w:b w:val="0"/>
                <w:noProof/>
              </w:rPr>
              <w:t>H — Specific conditions for actions implementing pre-commercial procurement or procurement of innovative solutions</w:t>
            </w:r>
            <w:r w:rsidR="003569E8" w:rsidRPr="003569E8">
              <w:rPr>
                <w:b w:val="0"/>
                <w:noProof/>
                <w:webHidden/>
              </w:rPr>
              <w:tab/>
            </w:r>
            <w:r w:rsidR="003569E8" w:rsidRPr="003569E8">
              <w:rPr>
                <w:b w:val="0"/>
                <w:noProof/>
                <w:webHidden/>
              </w:rPr>
              <w:fldChar w:fldCharType="begin"/>
            </w:r>
            <w:r w:rsidR="003569E8" w:rsidRPr="003569E8">
              <w:rPr>
                <w:b w:val="0"/>
                <w:noProof/>
                <w:webHidden/>
              </w:rPr>
              <w:instrText xml:space="preserve"> PAGEREF _Toc66355175 \h </w:instrText>
            </w:r>
            <w:r w:rsidR="003569E8" w:rsidRPr="003569E8">
              <w:rPr>
                <w:b w:val="0"/>
                <w:noProof/>
                <w:webHidden/>
              </w:rPr>
            </w:r>
            <w:r w:rsidR="003569E8" w:rsidRPr="003569E8">
              <w:rPr>
                <w:b w:val="0"/>
                <w:noProof/>
                <w:webHidden/>
              </w:rPr>
              <w:fldChar w:fldCharType="separate"/>
            </w:r>
            <w:r w:rsidR="003569E8" w:rsidRPr="003569E8">
              <w:rPr>
                <w:b w:val="0"/>
                <w:noProof/>
                <w:webHidden/>
              </w:rPr>
              <w:t>33</w:t>
            </w:r>
            <w:r w:rsidR="003569E8" w:rsidRPr="003569E8">
              <w:rPr>
                <w:b w:val="0"/>
                <w:noProof/>
                <w:webHidden/>
              </w:rPr>
              <w:fldChar w:fldCharType="end"/>
            </w:r>
          </w:hyperlink>
        </w:p>
        <w:p w14:paraId="673718B1" w14:textId="567C5811" w:rsidR="00C60BD6" w:rsidRPr="00567817" w:rsidRDefault="00C60BD6" w:rsidP="00C60BD6">
          <w:r w:rsidRPr="00567817">
            <w:rPr>
              <w:bCs/>
              <w:noProof/>
            </w:rPr>
            <w:fldChar w:fldCharType="end"/>
          </w:r>
        </w:p>
      </w:sdtContent>
    </w:sdt>
    <w:p w14:paraId="47BB361C" w14:textId="77777777" w:rsidR="00C60BD6" w:rsidRPr="00A836B9" w:rsidRDefault="00C60BD6" w:rsidP="00E3014D">
      <w:pPr>
        <w:ind w:firstLine="720"/>
      </w:pPr>
    </w:p>
    <w:p w14:paraId="7417BB04" w14:textId="77777777" w:rsidR="00C60BD6" w:rsidRPr="00A836B9" w:rsidRDefault="00C60BD6" w:rsidP="00C60BD6"/>
    <w:p w14:paraId="4D6E8967" w14:textId="77777777" w:rsidR="00C60BD6" w:rsidRPr="00A836B9" w:rsidRDefault="00C60BD6" w:rsidP="00C60BD6"/>
    <w:p w14:paraId="249A257D" w14:textId="77777777" w:rsidR="00C60BD6" w:rsidRPr="00A836B9" w:rsidRDefault="00C60BD6" w:rsidP="00C60BD6"/>
    <w:p w14:paraId="489CE38F" w14:textId="77777777" w:rsidR="00C60BD6" w:rsidRPr="00A836B9" w:rsidRDefault="00C60BD6" w:rsidP="00C60BD6">
      <w:pPr>
        <w:tabs>
          <w:tab w:val="left" w:pos="2244"/>
        </w:tabs>
      </w:pPr>
      <w:r w:rsidRPr="00A836B9">
        <w:tab/>
      </w:r>
    </w:p>
    <w:p w14:paraId="45D2B2CD" w14:textId="77777777" w:rsidR="00C60BD6" w:rsidRPr="00A836B9" w:rsidRDefault="00C60BD6" w:rsidP="00C60BD6">
      <w:pPr>
        <w:jc w:val="left"/>
        <w:outlineLvl w:val="0"/>
        <w:rPr>
          <w:b/>
          <w:u w:val="single"/>
        </w:rPr>
      </w:pPr>
    </w:p>
    <w:p w14:paraId="3F2231BF" w14:textId="77777777" w:rsidR="00C60BD6" w:rsidRPr="00A836B9" w:rsidRDefault="00C60BD6" w:rsidP="00C60BD6">
      <w:pPr>
        <w:rPr>
          <w:rFonts w:cs="Times New Roman"/>
          <w:szCs w:val="24"/>
          <w:u w:val="single"/>
        </w:rPr>
      </w:pPr>
      <w:r w:rsidRPr="00A836B9">
        <w:rPr>
          <w:rFonts w:cs="Times New Roman"/>
          <w:szCs w:val="24"/>
        </w:rPr>
        <w:br w:type="page"/>
      </w:r>
    </w:p>
    <w:p w14:paraId="1DDB4CF9" w14:textId="77777777" w:rsidR="00C60BD6" w:rsidRPr="00A836B9" w:rsidRDefault="00C60BD6" w:rsidP="490E705E">
      <w:pPr>
        <w:jc w:val="left"/>
        <w:outlineLvl w:val="0"/>
        <w:rPr>
          <w:b/>
          <w:bCs/>
          <w:u w:val="single"/>
        </w:rPr>
      </w:pPr>
      <w:bookmarkStart w:id="1" w:name="_Toc66355165"/>
      <w:r w:rsidRPr="00A836B9">
        <w:rPr>
          <w:b/>
          <w:bCs/>
          <w:u w:val="single"/>
        </w:rPr>
        <w:lastRenderedPageBreak/>
        <w:t>INTRODUCTION</w:t>
      </w:r>
      <w:bookmarkEnd w:id="1"/>
    </w:p>
    <w:p w14:paraId="0124A51B" w14:textId="3F8861E4" w:rsidR="00C60BD6" w:rsidRPr="00A836B9" w:rsidRDefault="00C60BD6" w:rsidP="00C60BD6">
      <w:pPr>
        <w:rPr>
          <w:color w:val="000000"/>
        </w:rPr>
      </w:pPr>
      <w:r w:rsidRPr="00A836B9">
        <w:rPr>
          <w:color w:val="000000"/>
        </w:rPr>
        <w:t xml:space="preserve">These General </w:t>
      </w:r>
      <w:r w:rsidR="00C40DC9" w:rsidRPr="00A836B9">
        <w:rPr>
          <w:color w:val="000000"/>
        </w:rPr>
        <w:t>Annex</w:t>
      </w:r>
      <w:r w:rsidRPr="00A836B9">
        <w:rPr>
          <w:color w:val="000000"/>
        </w:rPr>
        <w:t xml:space="preserve">es set out the general conditions applicable to calls and topics for grants and other forms of funding under the Horizon Europe </w:t>
      </w:r>
      <w:r w:rsidR="00A53810" w:rsidRPr="00A836B9">
        <w:rPr>
          <w:color w:val="000000"/>
        </w:rPr>
        <w:t>m</w:t>
      </w:r>
      <w:r w:rsidRPr="00A836B9">
        <w:rPr>
          <w:color w:val="000000"/>
        </w:rPr>
        <w:t xml:space="preserve">ain </w:t>
      </w:r>
      <w:r w:rsidR="00A53810" w:rsidRPr="00A836B9">
        <w:rPr>
          <w:color w:val="000000"/>
        </w:rPr>
        <w:t>w</w:t>
      </w:r>
      <w:r w:rsidRPr="00A836B9">
        <w:rPr>
          <w:color w:val="000000"/>
        </w:rPr>
        <w:t xml:space="preserve">ork </w:t>
      </w:r>
      <w:r w:rsidR="00A53810" w:rsidRPr="00A836B9">
        <w:rPr>
          <w:color w:val="000000"/>
        </w:rPr>
        <w:t>p</w:t>
      </w:r>
      <w:r w:rsidRPr="00A836B9">
        <w:rPr>
          <w:color w:val="000000"/>
        </w:rPr>
        <w:t>rogramme</w:t>
      </w:r>
      <w:r w:rsidR="00A53810" w:rsidRPr="00A836B9">
        <w:rPr>
          <w:color w:val="000000"/>
        </w:rPr>
        <w:t xml:space="preserve">. They also </w:t>
      </w:r>
      <w:r w:rsidRPr="00A836B9">
        <w:rPr>
          <w:color w:val="000000"/>
        </w:rPr>
        <w:t xml:space="preserve">describe the evaluation and award procedures and other </w:t>
      </w:r>
      <w:r w:rsidR="0006269A" w:rsidRPr="00A836B9">
        <w:rPr>
          <w:color w:val="000000"/>
        </w:rPr>
        <w:t>criteria</w:t>
      </w:r>
      <w:r w:rsidRPr="00A836B9">
        <w:rPr>
          <w:color w:val="000000"/>
        </w:rPr>
        <w:t xml:space="preserve"> for Horizon Europe funding.</w:t>
      </w:r>
    </w:p>
    <w:p w14:paraId="75DEBC92" w14:textId="21538705" w:rsidR="00C60BD6" w:rsidRPr="00A836B9" w:rsidRDefault="00C60BD6" w:rsidP="00C60BD6">
      <w:pPr>
        <w:rPr>
          <w:color w:val="000000"/>
        </w:rPr>
      </w:pPr>
      <w:r w:rsidRPr="00A836B9">
        <w:rPr>
          <w:color w:val="000000"/>
        </w:rPr>
        <w:t>If a topic deviates from the general conditions or includes additional conditions, this is explicitly stated under the specific conditions for the topic.</w:t>
      </w:r>
      <w:r w:rsidR="008C170F" w:rsidRPr="00A836B9">
        <w:rPr>
          <w:color w:val="000000"/>
        </w:rPr>
        <w:t xml:space="preserve"> </w:t>
      </w:r>
    </w:p>
    <w:p w14:paraId="7CF51CFB" w14:textId="509872F2" w:rsidR="00C60BD6" w:rsidRPr="00A836B9" w:rsidRDefault="00C60BD6" w:rsidP="00C60BD6">
      <w:r w:rsidRPr="00A836B9">
        <w:t xml:space="preserve">Applicants are invited to read the call documentation on the topic page </w:t>
      </w:r>
      <w:r w:rsidR="00BD0636">
        <w:t>of</w:t>
      </w:r>
      <w:r w:rsidRPr="00A836B9">
        <w:t xml:space="preserve"> the Funding &amp; Tenders Portal </w:t>
      </w:r>
      <w:r w:rsidR="00BD0636">
        <w:t xml:space="preserve">(‘Portal’) </w:t>
      </w:r>
      <w:r w:rsidRPr="00A836B9">
        <w:t>carefully, and particular</w:t>
      </w:r>
      <w:r w:rsidR="0006269A" w:rsidRPr="00A836B9">
        <w:t>ly</w:t>
      </w:r>
      <w:r w:rsidRPr="00A836B9">
        <w:t xml:space="preserve"> these General </w:t>
      </w:r>
      <w:r w:rsidR="00C40DC9" w:rsidRPr="00A836B9">
        <w:t>Annex</w:t>
      </w:r>
      <w:r w:rsidRPr="00A836B9">
        <w:t xml:space="preserve">es, the </w:t>
      </w:r>
      <w:hyperlink r:id="rId8" w:history="1">
        <w:r w:rsidRPr="003569E8">
          <w:rPr>
            <w:rStyle w:val="Hyperlink"/>
          </w:rPr>
          <w:t>Horizon Europe Programme Guide</w:t>
        </w:r>
      </w:hyperlink>
      <w:r w:rsidRPr="00A836B9">
        <w:t xml:space="preserve">, the </w:t>
      </w:r>
      <w:hyperlink r:id="rId9" w:history="1">
        <w:r w:rsidRPr="00A836B9">
          <w:rPr>
            <w:rFonts w:cs="Verdana"/>
            <w:color w:val="0088CC"/>
            <w:u w:val="single"/>
          </w:rPr>
          <w:t>EU Funding &amp; Tenders Portal Online Manual</w:t>
        </w:r>
      </w:hyperlink>
      <w:r w:rsidRPr="00A836B9">
        <w:t xml:space="preserve"> and the </w:t>
      </w:r>
      <w:hyperlink r:id="rId10" w:history="1">
        <w:r w:rsidR="005B59AC" w:rsidRPr="00A836B9">
          <w:rPr>
            <w:iCs/>
            <w:color w:val="0088CC"/>
            <w:u w:val="single"/>
          </w:rPr>
          <w:t xml:space="preserve">EU Grants AGA </w:t>
        </w:r>
        <w:r w:rsidR="005B59AC" w:rsidRPr="00A836B9">
          <w:rPr>
            <w:color w:val="0088CC"/>
            <w:u w:val="single"/>
          </w:rPr>
          <w:t>—</w:t>
        </w:r>
        <w:r w:rsidR="005B59AC" w:rsidRPr="00A836B9">
          <w:rPr>
            <w:iCs/>
            <w:color w:val="0088CC"/>
            <w:u w:val="single"/>
          </w:rPr>
          <w:t xml:space="preserve"> Annotated Grant Agreement</w:t>
        </w:r>
      </w:hyperlink>
      <w:r w:rsidRPr="00A836B9">
        <w:t xml:space="preserve">. These documents provide clarifications and answers to questions </w:t>
      </w:r>
      <w:r w:rsidR="00A53810" w:rsidRPr="00A836B9">
        <w:t>on</w:t>
      </w:r>
      <w:r w:rsidRPr="00A836B9">
        <w:t xml:space="preserve"> preparing the application</w:t>
      </w:r>
      <w:r w:rsidR="0006269A" w:rsidRPr="00A836B9">
        <w:t>.</w:t>
      </w:r>
      <w:r w:rsidRPr="00A836B9">
        <w:t xml:space="preserve"> </w:t>
      </w:r>
    </w:p>
    <w:p w14:paraId="6265BCCC" w14:textId="037E806A" w:rsidR="00C60BD6" w:rsidRPr="00A836B9" w:rsidRDefault="0006269A" w:rsidP="00C60BD6">
      <w:pPr>
        <w:numPr>
          <w:ilvl w:val="0"/>
          <w:numId w:val="23"/>
        </w:numPr>
      </w:pPr>
      <w:r w:rsidRPr="00A836B9">
        <w:t>T</w:t>
      </w:r>
      <w:r w:rsidR="00C60BD6" w:rsidRPr="00A836B9">
        <w:t xml:space="preserve">he General </w:t>
      </w:r>
      <w:r w:rsidR="00C40DC9" w:rsidRPr="00A836B9">
        <w:t>Annex</w:t>
      </w:r>
      <w:r w:rsidR="00C60BD6" w:rsidRPr="00A836B9">
        <w:t xml:space="preserve">es outline the: </w:t>
      </w:r>
    </w:p>
    <w:p w14:paraId="7408C26F" w14:textId="3C701CAE" w:rsidR="00C60BD6" w:rsidRPr="00A836B9" w:rsidRDefault="00C60BD6" w:rsidP="00C60BD6">
      <w:pPr>
        <w:numPr>
          <w:ilvl w:val="1"/>
          <w:numId w:val="23"/>
        </w:numPr>
      </w:pPr>
      <w:r w:rsidRPr="00A836B9">
        <w:t xml:space="preserve">admissibility and eligibility conditions, </w:t>
      </w:r>
      <w:r w:rsidR="0006269A" w:rsidRPr="00A836B9">
        <w:t xml:space="preserve">and the </w:t>
      </w:r>
      <w:r w:rsidRPr="00A836B9">
        <w:t>criteria for financial and operational capacity and exclusion (</w:t>
      </w:r>
      <w:r w:rsidR="00C40DC9" w:rsidRPr="00A836B9">
        <w:t>Annex</w:t>
      </w:r>
      <w:r w:rsidRPr="00A836B9">
        <w:t>es A-C)</w:t>
      </w:r>
      <w:r w:rsidR="0006269A" w:rsidRPr="00A836B9">
        <w:t>;</w:t>
      </w:r>
    </w:p>
    <w:p w14:paraId="0F1824D9" w14:textId="14D2A9EB" w:rsidR="00C60BD6" w:rsidRPr="00A836B9" w:rsidRDefault="00C60BD6" w:rsidP="00C60BD6">
      <w:pPr>
        <w:numPr>
          <w:ilvl w:val="1"/>
          <w:numId w:val="23"/>
        </w:numPr>
      </w:pPr>
      <w:r w:rsidRPr="00A836B9">
        <w:t>award criteria, mandatory documents and evaluation procedure (</w:t>
      </w:r>
      <w:r w:rsidR="00C40DC9" w:rsidRPr="00A836B9">
        <w:t>Annex</w:t>
      </w:r>
      <w:r w:rsidRPr="00A836B9">
        <w:t>es D-F)</w:t>
      </w:r>
      <w:r w:rsidR="0006269A" w:rsidRPr="00A836B9">
        <w:t>;</w:t>
      </w:r>
      <w:r w:rsidRPr="00A836B9">
        <w:t xml:space="preserve"> </w:t>
      </w:r>
    </w:p>
    <w:p w14:paraId="2C4A4A83" w14:textId="0500C8CD" w:rsidR="00C60BD6" w:rsidRPr="00A836B9" w:rsidRDefault="00C60BD6" w:rsidP="00C60BD6">
      <w:pPr>
        <w:numPr>
          <w:ilvl w:val="1"/>
          <w:numId w:val="23"/>
        </w:numPr>
      </w:pPr>
      <w:r w:rsidRPr="00A836B9">
        <w:t>legal and financial set-up of the grant agreements (</w:t>
      </w:r>
      <w:r w:rsidR="00C40DC9" w:rsidRPr="00A836B9">
        <w:t>Annex</w:t>
      </w:r>
      <w:r w:rsidRPr="00A836B9">
        <w:t xml:space="preserve"> G)</w:t>
      </w:r>
      <w:r w:rsidR="0006269A" w:rsidRPr="00A836B9">
        <w:t>;</w:t>
      </w:r>
    </w:p>
    <w:p w14:paraId="3919477A" w14:textId="3B9A221A" w:rsidR="00C60BD6" w:rsidRPr="00A836B9" w:rsidRDefault="00C60BD6" w:rsidP="00C60BD6">
      <w:pPr>
        <w:numPr>
          <w:ilvl w:val="1"/>
          <w:numId w:val="23"/>
        </w:numPr>
      </w:pPr>
      <w:r w:rsidRPr="00A836B9">
        <w:t>specific conditions applying to actions which include pre-commercial procurement or procurement of innovative solutions (</w:t>
      </w:r>
      <w:r w:rsidR="00C40DC9" w:rsidRPr="00A836B9">
        <w:t>Annex</w:t>
      </w:r>
      <w:r w:rsidRPr="00A836B9">
        <w:t xml:space="preserve"> H)</w:t>
      </w:r>
      <w:r w:rsidR="0006269A" w:rsidRPr="00A836B9">
        <w:t>.</w:t>
      </w:r>
    </w:p>
    <w:p w14:paraId="19D7DC87" w14:textId="27111576" w:rsidR="00C60BD6" w:rsidRPr="00A836B9" w:rsidRDefault="0006269A" w:rsidP="00C60BD6">
      <w:pPr>
        <w:numPr>
          <w:ilvl w:val="0"/>
          <w:numId w:val="23"/>
        </w:numPr>
      </w:pPr>
      <w:r w:rsidRPr="00A836B9">
        <w:t>T</w:t>
      </w:r>
      <w:r w:rsidR="00C60BD6" w:rsidRPr="00A836B9">
        <w:t>he Programme Guide outlines the:</w:t>
      </w:r>
    </w:p>
    <w:p w14:paraId="0933EC48" w14:textId="5571171F" w:rsidR="00C60BD6" w:rsidRPr="00A836B9" w:rsidRDefault="00C60BD6" w:rsidP="00C60BD6">
      <w:pPr>
        <w:numPr>
          <w:ilvl w:val="1"/>
          <w:numId w:val="23"/>
        </w:numPr>
      </w:pPr>
      <w:r w:rsidRPr="00A836B9">
        <w:t>detailed guidance on the structure, budget and political priorities of Horizon Europe</w:t>
      </w:r>
      <w:r w:rsidR="0006269A" w:rsidRPr="00A836B9">
        <w:t>.</w:t>
      </w:r>
    </w:p>
    <w:p w14:paraId="27FC3357" w14:textId="6E90F67F" w:rsidR="00C60BD6" w:rsidRPr="00A836B9" w:rsidRDefault="0006269A" w:rsidP="00C60BD6">
      <w:pPr>
        <w:numPr>
          <w:ilvl w:val="0"/>
          <w:numId w:val="23"/>
        </w:numPr>
      </w:pPr>
      <w:r w:rsidRPr="00A836B9">
        <w:t>T</w:t>
      </w:r>
      <w:r w:rsidR="00C60BD6" w:rsidRPr="00A836B9">
        <w:t xml:space="preserve">he Online Manual outlines the: </w:t>
      </w:r>
    </w:p>
    <w:p w14:paraId="114A5864" w14:textId="06D16AD5" w:rsidR="00C60BD6" w:rsidRPr="00A836B9" w:rsidRDefault="00C60BD6" w:rsidP="00C60BD6">
      <w:pPr>
        <w:numPr>
          <w:ilvl w:val="1"/>
          <w:numId w:val="23"/>
        </w:numPr>
      </w:pPr>
      <w:r w:rsidRPr="00A836B9">
        <w:t xml:space="preserve">procedures to register and submit applications online via the EU Funding &amp; Tenders Portal and recommendations </w:t>
      </w:r>
      <w:r w:rsidR="00A53810" w:rsidRPr="00A836B9">
        <w:t>on</w:t>
      </w:r>
      <w:r w:rsidRPr="00A836B9">
        <w:t xml:space="preserve"> prepar</w:t>
      </w:r>
      <w:r w:rsidR="00A53810" w:rsidRPr="00A836B9">
        <w:t>ing</w:t>
      </w:r>
      <w:r w:rsidRPr="00A836B9">
        <w:t xml:space="preserve"> the application</w:t>
      </w:r>
      <w:r w:rsidR="0006269A" w:rsidRPr="00A836B9">
        <w:t>.</w:t>
      </w:r>
    </w:p>
    <w:p w14:paraId="6C2DA840" w14:textId="2AFC16AA" w:rsidR="00C60BD6" w:rsidRPr="00A836B9" w:rsidRDefault="0006269A" w:rsidP="00C60BD6">
      <w:pPr>
        <w:numPr>
          <w:ilvl w:val="0"/>
          <w:numId w:val="23"/>
        </w:numPr>
      </w:pPr>
      <w:r w:rsidRPr="00A836B9">
        <w:t>T</w:t>
      </w:r>
      <w:r w:rsidR="00C60BD6" w:rsidRPr="00A836B9">
        <w:t xml:space="preserve">he AGA </w:t>
      </w:r>
      <w:r w:rsidR="005B59AC" w:rsidRPr="00A836B9">
        <w:rPr>
          <w:rFonts w:eastAsiaTheme="majorEastAsia" w:cs="Times New Roman"/>
          <w:bCs/>
        </w:rPr>
        <w:t>—</w:t>
      </w:r>
      <w:r w:rsidR="005C368D" w:rsidRPr="00A836B9">
        <w:t xml:space="preserve"> </w:t>
      </w:r>
      <w:r w:rsidR="00C60BD6" w:rsidRPr="00A836B9">
        <w:t>Annotated Grant Agreement</w:t>
      </w:r>
      <w:r w:rsidR="008C170F" w:rsidRPr="00A836B9">
        <w:t xml:space="preserve"> </w:t>
      </w:r>
      <w:r w:rsidR="00C60BD6" w:rsidRPr="00A836B9">
        <w:t>contains:</w:t>
      </w:r>
    </w:p>
    <w:p w14:paraId="2E9C9ABC" w14:textId="6F08C6B1" w:rsidR="00C60BD6" w:rsidRPr="00A836B9" w:rsidRDefault="00C60BD6" w:rsidP="00C60BD6">
      <w:pPr>
        <w:numPr>
          <w:ilvl w:val="1"/>
          <w:numId w:val="23"/>
        </w:numPr>
      </w:pPr>
      <w:r w:rsidRPr="00A836B9">
        <w:t xml:space="preserve">detailed annotations on all the provisions in the grant agreement </w:t>
      </w:r>
      <w:r w:rsidR="0006269A" w:rsidRPr="00A836B9">
        <w:t>that must</w:t>
      </w:r>
      <w:r w:rsidRPr="00A836B9">
        <w:t xml:space="preserve"> be signed to obtain the grant. </w:t>
      </w:r>
    </w:p>
    <w:p w14:paraId="48E8DEF6" w14:textId="5246FBED" w:rsidR="00C60BD6" w:rsidRPr="00A836B9" w:rsidRDefault="00C60BD6" w:rsidP="00C60BD6">
      <w:pPr>
        <w:rPr>
          <w:color w:val="000000"/>
        </w:rPr>
      </w:pPr>
      <w:r w:rsidRPr="00A836B9">
        <w:rPr>
          <w:noProof/>
          <w:szCs w:val="21"/>
        </w:rPr>
        <w:drawing>
          <wp:inline distT="0" distB="0" distL="0" distR="0" wp14:anchorId="61D2A615" wp14:editId="693A6A63">
            <wp:extent cx="158750"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36B9">
        <w:rPr>
          <w:color w:val="000000"/>
        </w:rPr>
        <w:t xml:space="preserve"> Please note that calls launched by the European Research Council (ERC), the European Innovation Council (EIC), the European Institute of Innovation and Technology (EIT), the Institutionalised European Partnerships based on Articles 185 and 187 of the Treaty on the Functioning of the European Union (TFEU), calls under the Euratom Research and Training Programme and the activities of the European Commission Joint Research Centre (JRC) are subject to separate work programmes and thus not covered by these General </w:t>
      </w:r>
      <w:r w:rsidR="00C40DC9" w:rsidRPr="00A836B9">
        <w:rPr>
          <w:color w:val="000000"/>
        </w:rPr>
        <w:t>Annex</w:t>
      </w:r>
      <w:r w:rsidRPr="00A836B9">
        <w:rPr>
          <w:color w:val="000000"/>
        </w:rPr>
        <w:t>es.</w:t>
      </w:r>
      <w:r w:rsidRPr="00A836B9">
        <w:br w:type="page"/>
      </w:r>
    </w:p>
    <w:p w14:paraId="28BE53D8" w14:textId="77777777" w:rsidR="00C60BD6" w:rsidRPr="00A836B9" w:rsidRDefault="00C60BD6" w:rsidP="490E705E">
      <w:pPr>
        <w:jc w:val="left"/>
        <w:outlineLvl w:val="0"/>
        <w:rPr>
          <w:b/>
          <w:bCs/>
          <w:u w:val="single"/>
        </w:rPr>
      </w:pPr>
      <w:bookmarkStart w:id="2" w:name="_Toc66355166"/>
      <w:r w:rsidRPr="00A836B9">
        <w:rPr>
          <w:b/>
          <w:bCs/>
          <w:u w:val="single"/>
        </w:rPr>
        <w:t>GENERAL CONDITIONS</w:t>
      </w:r>
      <w:bookmarkEnd w:id="2"/>
    </w:p>
    <w:p w14:paraId="28A33C18" w14:textId="17B4BEEF" w:rsidR="00C60BD6" w:rsidRPr="00A836B9" w:rsidRDefault="00C60BD6" w:rsidP="490E705E">
      <w:pPr>
        <w:keepNext/>
        <w:keepLines/>
        <w:spacing w:before="240" w:after="240"/>
        <w:outlineLvl w:val="1"/>
        <w:rPr>
          <w:rFonts w:eastAsiaTheme="majorEastAsia" w:cs="Times New Roman"/>
          <w:b/>
          <w:bCs/>
        </w:rPr>
      </w:pPr>
      <w:bookmarkStart w:id="3" w:name="_Toc66355167"/>
      <w:r w:rsidRPr="00A836B9">
        <w:rPr>
          <w:rFonts w:eastAsiaTheme="majorEastAsia" w:cs="Times New Roman"/>
          <w:b/>
          <w:bCs/>
        </w:rPr>
        <w:t>A — Admissibility</w:t>
      </w:r>
      <w:bookmarkEnd w:id="3"/>
      <w:r w:rsidRPr="00A836B9">
        <w:rPr>
          <w:rFonts w:eastAsiaTheme="majorEastAsia" w:cs="Times New Roman"/>
          <w:b/>
          <w:bCs/>
        </w:rPr>
        <w:t xml:space="preserve"> </w:t>
      </w:r>
    </w:p>
    <w:p w14:paraId="19452828" w14:textId="77777777" w:rsidR="00C60BD6" w:rsidRPr="00A836B9" w:rsidRDefault="00C60BD6" w:rsidP="490E705E">
      <w:pPr>
        <w:rPr>
          <w:b/>
          <w:bCs/>
          <w:i/>
          <w:iCs/>
          <w:color w:val="000000"/>
          <w:u w:val="single"/>
        </w:rPr>
      </w:pPr>
      <w:r w:rsidRPr="00A836B9">
        <w:rPr>
          <w:b/>
          <w:bCs/>
          <w:i/>
          <w:iCs/>
          <w:color w:val="000000"/>
          <w:u w:val="single"/>
        </w:rPr>
        <w:t>Admissibility</w:t>
      </w:r>
    </w:p>
    <w:p w14:paraId="0D224C4B" w14:textId="77777777" w:rsidR="00C60BD6" w:rsidRPr="00A836B9" w:rsidRDefault="00C60BD6" w:rsidP="490E705E">
      <w:pPr>
        <w:rPr>
          <w:color w:val="000000"/>
        </w:rPr>
      </w:pPr>
      <w:r w:rsidRPr="00A836B9">
        <w:rPr>
          <w:color w:val="000000"/>
        </w:rPr>
        <w:t xml:space="preserve">Applications must be submitted before the </w:t>
      </w:r>
      <w:r w:rsidRPr="00A836B9">
        <w:rPr>
          <w:b/>
          <w:bCs/>
          <w:color w:val="000000"/>
        </w:rPr>
        <w:t>call deadline</w:t>
      </w:r>
      <w:r w:rsidRPr="00A836B9">
        <w:rPr>
          <w:color w:val="000000"/>
        </w:rPr>
        <w:t>.</w:t>
      </w:r>
    </w:p>
    <w:p w14:paraId="77D590D7" w14:textId="4A6DA879" w:rsidR="00C60BD6" w:rsidRPr="00A836B9" w:rsidRDefault="00C60BD6" w:rsidP="00C60BD6">
      <w:pPr>
        <w:rPr>
          <w:color w:val="000000"/>
        </w:rPr>
      </w:pPr>
      <w:r w:rsidRPr="00A836B9">
        <w:rPr>
          <w:color w:val="000000"/>
        </w:rPr>
        <w:t xml:space="preserve">Applications must be submitted </w:t>
      </w:r>
      <w:r w:rsidRPr="00A836B9">
        <w:rPr>
          <w:b/>
          <w:bCs/>
          <w:color w:val="000000"/>
        </w:rPr>
        <w:t>electronically</w:t>
      </w:r>
      <w:r w:rsidRPr="00A836B9">
        <w:rPr>
          <w:color w:val="000000"/>
        </w:rPr>
        <w:t xml:space="preserve"> via the Funding &amp; Tenders Portal </w:t>
      </w:r>
      <w:r w:rsidR="004606B4" w:rsidRPr="00A836B9">
        <w:rPr>
          <w:color w:val="000000"/>
        </w:rPr>
        <w:t>e</w:t>
      </w:r>
      <w:r w:rsidRPr="00A836B9">
        <w:rPr>
          <w:color w:val="000000"/>
        </w:rPr>
        <w:t xml:space="preserve">lectronic </w:t>
      </w:r>
      <w:r w:rsidR="004606B4" w:rsidRPr="00A836B9">
        <w:rPr>
          <w:color w:val="000000"/>
        </w:rPr>
        <w:t>s</w:t>
      </w:r>
      <w:r w:rsidRPr="00A836B9">
        <w:rPr>
          <w:color w:val="000000"/>
        </w:rPr>
        <w:t xml:space="preserve">ubmission </w:t>
      </w:r>
      <w:r w:rsidR="004606B4" w:rsidRPr="00A836B9">
        <w:rPr>
          <w:color w:val="000000"/>
        </w:rPr>
        <w:t>s</w:t>
      </w:r>
      <w:r w:rsidRPr="00A836B9">
        <w:rPr>
          <w:color w:val="000000"/>
        </w:rPr>
        <w:t xml:space="preserve">ystem (accessible via the topic page in the </w:t>
      </w:r>
      <w:hyperlink r:id="rId12" w:history="1">
        <w:r w:rsidRPr="00A836B9">
          <w:rPr>
            <w:color w:val="0088CC"/>
            <w:u w:val="single"/>
          </w:rPr>
          <w:t>Search Funding &amp; Tenders</w:t>
        </w:r>
      </w:hyperlink>
      <w:r w:rsidRPr="00A836B9">
        <w:rPr>
          <w:color w:val="0088CC"/>
        </w:rPr>
        <w:t xml:space="preserve"> </w:t>
      </w:r>
      <w:r w:rsidRPr="00A836B9">
        <w:rPr>
          <w:color w:val="000000"/>
        </w:rPr>
        <w:t>section). Paper submissions are NOT possible.</w:t>
      </w:r>
    </w:p>
    <w:p w14:paraId="57227FC4" w14:textId="24EFA54A" w:rsidR="00C60BD6" w:rsidRPr="00A836B9" w:rsidRDefault="00C60BD6" w:rsidP="00C60BD6">
      <w:r w:rsidRPr="00A836B9">
        <w:rPr>
          <w:color w:val="000000"/>
        </w:rPr>
        <w:t xml:space="preserve">Applications must be submitted using the forms provided </w:t>
      </w:r>
      <w:r w:rsidRPr="00A836B9">
        <w:rPr>
          <w:i/>
          <w:iCs/>
          <w:color w:val="000000"/>
        </w:rPr>
        <w:t>inside</w:t>
      </w:r>
      <w:r w:rsidRPr="00A836B9">
        <w:rPr>
          <w:color w:val="000000"/>
        </w:rPr>
        <w:t xml:space="preserve"> the </w:t>
      </w:r>
      <w:r w:rsidR="00E36D22" w:rsidRPr="00A836B9">
        <w:rPr>
          <w:color w:val="000000"/>
        </w:rPr>
        <w:t>e</w:t>
      </w:r>
      <w:r w:rsidRPr="00A836B9">
        <w:rPr>
          <w:color w:val="000000"/>
        </w:rPr>
        <w:t xml:space="preserve">lectronic </w:t>
      </w:r>
      <w:r w:rsidR="00E36D22" w:rsidRPr="00A836B9">
        <w:rPr>
          <w:color w:val="000000"/>
        </w:rPr>
        <w:t>s</w:t>
      </w:r>
      <w:r w:rsidRPr="00A836B9">
        <w:rPr>
          <w:color w:val="000000"/>
        </w:rPr>
        <w:t xml:space="preserve">ubmission </w:t>
      </w:r>
      <w:r w:rsidR="00E36D22" w:rsidRPr="00A836B9">
        <w:rPr>
          <w:color w:val="000000"/>
        </w:rPr>
        <w:t>s</w:t>
      </w:r>
      <w:r w:rsidRPr="00A836B9">
        <w:rPr>
          <w:color w:val="000000"/>
        </w:rPr>
        <w:t xml:space="preserve">ystem (not the </w:t>
      </w:r>
      <w:r w:rsidR="00DD2449" w:rsidRPr="00A836B9">
        <w:rPr>
          <w:color w:val="000000"/>
        </w:rPr>
        <w:t xml:space="preserve">templates </w:t>
      </w:r>
      <w:r w:rsidRPr="00A836B9">
        <w:rPr>
          <w:color w:val="000000"/>
        </w:rPr>
        <w:t>available on the topic page</w:t>
      </w:r>
      <w:r w:rsidR="005C368D" w:rsidRPr="00A836B9">
        <w:rPr>
          <w:color w:val="000000"/>
        </w:rPr>
        <w:t>, which</w:t>
      </w:r>
      <w:r w:rsidRPr="00A836B9">
        <w:rPr>
          <w:color w:val="000000"/>
        </w:rPr>
        <w:t xml:space="preserve"> are only for information).</w:t>
      </w:r>
      <w:r w:rsidRPr="00A836B9">
        <w:t xml:space="preserve"> The structure and presentation must correspond to the instructions given in the </w:t>
      </w:r>
      <w:r w:rsidR="00DD2449" w:rsidRPr="00A836B9">
        <w:t>forms</w:t>
      </w:r>
      <w:r w:rsidRPr="00A836B9">
        <w:t>.</w:t>
      </w:r>
    </w:p>
    <w:p w14:paraId="618C5F30" w14:textId="71232429" w:rsidR="00C60BD6" w:rsidRPr="00A836B9" w:rsidRDefault="00C60BD6" w:rsidP="490E705E">
      <w:pPr>
        <w:pBdr>
          <w:top w:val="nil"/>
          <w:left w:val="nil"/>
          <w:bottom w:val="nil"/>
          <w:right w:val="nil"/>
          <w:between w:val="nil"/>
          <w:bar w:val="nil"/>
        </w:pBdr>
        <w:spacing w:line="240" w:lineRule="auto"/>
        <w:rPr>
          <w:rFonts w:eastAsia="Arial Unicode MS" w:cs="Times New Roman"/>
          <w:color w:val="000000"/>
          <w:bdr w:val="nil"/>
        </w:rPr>
      </w:pPr>
      <w:r w:rsidRPr="00A836B9">
        <w:rPr>
          <w:rFonts w:eastAsia="Arial Unicode MS" w:cs="Times New Roman"/>
          <w:color w:val="000000"/>
          <w:bdr w:val="nil"/>
        </w:rPr>
        <w:t xml:space="preserve">Applications must be </w:t>
      </w:r>
      <w:r w:rsidRPr="00A836B9">
        <w:rPr>
          <w:rFonts w:eastAsia="Arial Unicode MS" w:cs="Times New Roman"/>
          <w:b/>
          <w:bCs/>
          <w:color w:val="000000"/>
          <w:bdr w:val="nil"/>
        </w:rPr>
        <w:t>complete</w:t>
      </w:r>
      <w:r w:rsidRPr="00A836B9">
        <w:rPr>
          <w:rFonts w:eastAsia="Arial Unicode MS" w:cs="Times New Roman"/>
          <w:color w:val="000000"/>
          <w:bdr w:val="nil"/>
        </w:rPr>
        <w:t xml:space="preserve"> and contain all parts and mandatory </w:t>
      </w:r>
      <w:r w:rsidR="00C40DC9" w:rsidRPr="00A836B9">
        <w:rPr>
          <w:rFonts w:eastAsia="Arial Unicode MS" w:cs="Times New Roman"/>
          <w:color w:val="000000"/>
          <w:bdr w:val="nil"/>
        </w:rPr>
        <w:t>Annex</w:t>
      </w:r>
      <w:r w:rsidRPr="00A836B9">
        <w:rPr>
          <w:rFonts w:eastAsia="Arial Unicode MS" w:cs="Times New Roman"/>
          <w:color w:val="000000"/>
          <w:bdr w:val="nil"/>
        </w:rPr>
        <w:t xml:space="preserve">es and supporting documents </w:t>
      </w:r>
      <w:r w:rsidRPr="00A836B9">
        <w:rPr>
          <w:rFonts w:eastAsia="Arial Unicode MS" w:cs="Times New Roman"/>
          <w:i/>
          <w:iCs/>
          <w:color w:val="000000"/>
          <w:bdr w:val="nil"/>
        </w:rPr>
        <w:t xml:space="preserve">(see </w:t>
      </w:r>
      <w:r w:rsidR="00C40DC9" w:rsidRPr="00A836B9">
        <w:rPr>
          <w:rFonts w:eastAsia="Arial Unicode MS" w:cs="Times New Roman"/>
          <w:i/>
          <w:iCs/>
          <w:color w:val="000000"/>
          <w:bdr w:val="nil"/>
        </w:rPr>
        <w:t>Annex</w:t>
      </w:r>
      <w:r w:rsidRPr="00A836B9">
        <w:rPr>
          <w:rFonts w:eastAsia="Arial Unicode MS" w:cs="Times New Roman"/>
          <w:i/>
          <w:iCs/>
          <w:color w:val="000000"/>
          <w:bdr w:val="nil"/>
        </w:rPr>
        <w:t xml:space="preserve"> E)</w:t>
      </w:r>
      <w:r w:rsidRPr="00A836B9">
        <w:rPr>
          <w:rFonts w:eastAsia="Arial Unicode MS" w:cs="Times New Roman"/>
          <w:color w:val="000000"/>
          <w:bdr w:val="nil"/>
        </w:rPr>
        <w:t>.</w:t>
      </w:r>
    </w:p>
    <w:p w14:paraId="612C9E3C" w14:textId="77777777" w:rsidR="00C60BD6" w:rsidRPr="00A836B9" w:rsidRDefault="00C60BD6" w:rsidP="490E705E">
      <w:pPr>
        <w:rPr>
          <w:color w:val="000000"/>
        </w:rPr>
      </w:pPr>
      <w:r w:rsidRPr="00A836B9">
        <w:rPr>
          <w:color w:val="000000"/>
        </w:rPr>
        <w:t xml:space="preserve">Applications must be </w:t>
      </w:r>
      <w:r w:rsidRPr="00A836B9">
        <w:rPr>
          <w:b/>
          <w:bCs/>
          <w:color w:val="000000"/>
        </w:rPr>
        <w:t>readable</w:t>
      </w:r>
      <w:r w:rsidRPr="00A836B9">
        <w:rPr>
          <w:color w:val="000000"/>
        </w:rPr>
        <w:t xml:space="preserve">, </w:t>
      </w:r>
      <w:r w:rsidRPr="00A836B9">
        <w:rPr>
          <w:b/>
          <w:bCs/>
          <w:color w:val="000000"/>
        </w:rPr>
        <w:t>accessible</w:t>
      </w:r>
      <w:r w:rsidRPr="00A836B9">
        <w:rPr>
          <w:color w:val="000000"/>
        </w:rPr>
        <w:t xml:space="preserve"> and </w:t>
      </w:r>
      <w:r w:rsidRPr="00A836B9">
        <w:rPr>
          <w:b/>
          <w:bCs/>
          <w:color w:val="000000"/>
        </w:rPr>
        <w:t>printable</w:t>
      </w:r>
      <w:r w:rsidRPr="00A836B9">
        <w:rPr>
          <w:color w:val="000000"/>
        </w:rPr>
        <w:t>.</w:t>
      </w:r>
    </w:p>
    <w:p w14:paraId="07BF4FEC" w14:textId="4970166C" w:rsidR="00C60BD6" w:rsidRPr="00A836B9" w:rsidRDefault="00C60BD6" w:rsidP="490E705E">
      <w:pPr>
        <w:rPr>
          <w:color w:val="000000"/>
        </w:rPr>
      </w:pPr>
      <w:r w:rsidRPr="00A836B9">
        <w:rPr>
          <w:color w:val="000000"/>
        </w:rPr>
        <w:t xml:space="preserve">Applications must include </w:t>
      </w:r>
      <w:r w:rsidRPr="00A836B9">
        <w:rPr>
          <w:b/>
          <w:bCs/>
          <w:color w:val="000000"/>
        </w:rPr>
        <w:t>a plan for the exploitation and dissemination of results</w:t>
      </w:r>
      <w:r w:rsidRPr="00A836B9">
        <w:rPr>
          <w:color w:val="000000"/>
        </w:rPr>
        <w:t xml:space="preserve">, </w:t>
      </w:r>
      <w:r w:rsidR="003670CC" w:rsidRPr="00A836B9">
        <w:rPr>
          <w:color w:val="000000"/>
        </w:rPr>
        <w:t>unless provided otherwise in the specific call conditions</w:t>
      </w:r>
      <w:r w:rsidRPr="00A836B9">
        <w:rPr>
          <w:color w:val="000000"/>
        </w:rPr>
        <w:t>. The plan is not required for applications at the first stage of two-stage procedures.</w:t>
      </w:r>
      <w:r w:rsidR="0086116D" w:rsidRPr="00A836B9">
        <w:rPr>
          <w:color w:val="000000"/>
        </w:rPr>
        <w:t xml:space="preserve"> If the expected exploitation of the results entails developing, creating, manufacturing and marketing a product or process, or in creating and providing a service, the plan must include a strategy for such exploitation. If the plan provides for exploitation of the results primarily in non-associated third countries, the legal entities must explain how that exploitation is still to be considered in the </w:t>
      </w:r>
      <w:r w:rsidR="00B441DD" w:rsidRPr="00A836B9">
        <w:rPr>
          <w:color w:val="000000"/>
        </w:rPr>
        <w:t>E</w:t>
      </w:r>
      <w:r w:rsidR="0086116D" w:rsidRPr="00A836B9">
        <w:rPr>
          <w:color w:val="000000"/>
        </w:rPr>
        <w:t>U</w:t>
      </w:r>
      <w:r w:rsidR="00B441DD" w:rsidRPr="00A836B9">
        <w:rPr>
          <w:color w:val="000000"/>
        </w:rPr>
        <w:t>’s</w:t>
      </w:r>
      <w:r w:rsidR="0086116D" w:rsidRPr="00A836B9">
        <w:rPr>
          <w:color w:val="000000"/>
        </w:rPr>
        <w:t xml:space="preserve"> interest.</w:t>
      </w:r>
    </w:p>
    <w:p w14:paraId="5169C855" w14:textId="6C190EF1" w:rsidR="00C60BD6" w:rsidRPr="00A836B9" w:rsidRDefault="00C60BD6" w:rsidP="00C60BD6">
      <w:pPr>
        <w:rPr>
          <w:color w:val="000000"/>
        </w:rPr>
      </w:pPr>
      <w:r w:rsidRPr="00A836B9">
        <w:rPr>
          <w:color w:val="000000"/>
        </w:rPr>
        <w:t xml:space="preserve">Applicants submitting a proposal under the blind evaluation pilot </w:t>
      </w:r>
      <w:r w:rsidRPr="00A836B9">
        <w:rPr>
          <w:i/>
          <w:iCs/>
          <w:color w:val="000000"/>
        </w:rPr>
        <w:t xml:space="preserve">(see </w:t>
      </w:r>
      <w:r w:rsidR="00C40DC9" w:rsidRPr="00A836B9">
        <w:rPr>
          <w:i/>
          <w:iCs/>
          <w:color w:val="000000"/>
        </w:rPr>
        <w:t>Annex</w:t>
      </w:r>
      <w:r w:rsidRPr="00A836B9">
        <w:rPr>
          <w:i/>
          <w:iCs/>
          <w:color w:val="000000"/>
        </w:rPr>
        <w:t xml:space="preserve"> F)</w:t>
      </w:r>
      <w:r w:rsidRPr="00A836B9">
        <w:rPr>
          <w:color w:val="000000"/>
        </w:rPr>
        <w:t xml:space="preserve"> must not disclose their identity (e.g. organisation names, acronyms, logos, names of personnel) in Part B of their first</w:t>
      </w:r>
      <w:r w:rsidR="00B441DD" w:rsidRPr="00A836B9">
        <w:rPr>
          <w:color w:val="000000"/>
        </w:rPr>
        <w:t>-</w:t>
      </w:r>
      <w:r w:rsidRPr="00A836B9">
        <w:rPr>
          <w:color w:val="000000"/>
        </w:rPr>
        <w:t xml:space="preserve">stage application </w:t>
      </w:r>
      <w:r w:rsidRPr="00A836B9">
        <w:rPr>
          <w:i/>
          <w:iCs/>
          <w:color w:val="000000"/>
        </w:rPr>
        <w:t xml:space="preserve">(see </w:t>
      </w:r>
      <w:r w:rsidR="00C40DC9" w:rsidRPr="00A836B9">
        <w:rPr>
          <w:i/>
          <w:iCs/>
          <w:color w:val="000000"/>
        </w:rPr>
        <w:t>Annex</w:t>
      </w:r>
      <w:r w:rsidRPr="00A836B9">
        <w:rPr>
          <w:i/>
          <w:iCs/>
          <w:color w:val="000000"/>
        </w:rPr>
        <w:t xml:space="preserve"> E)</w:t>
      </w:r>
      <w:r w:rsidRPr="00A836B9">
        <w:rPr>
          <w:color w:val="000000"/>
        </w:rPr>
        <w:t>.</w:t>
      </w:r>
    </w:p>
    <w:p w14:paraId="6237362D" w14:textId="77777777" w:rsidR="00C60BD6" w:rsidRPr="00A836B9" w:rsidRDefault="00C60BD6" w:rsidP="490E705E">
      <w:pPr>
        <w:rPr>
          <w:b/>
          <w:bCs/>
          <w:i/>
          <w:iCs/>
          <w:u w:val="single"/>
        </w:rPr>
      </w:pPr>
      <w:r w:rsidRPr="00A836B9">
        <w:rPr>
          <w:b/>
          <w:bCs/>
          <w:i/>
          <w:iCs/>
          <w:u w:val="single"/>
        </w:rPr>
        <w:t>Page limits</w:t>
      </w:r>
    </w:p>
    <w:p w14:paraId="7B263941" w14:textId="42FBD616" w:rsidR="00C60BD6" w:rsidRPr="00A836B9" w:rsidRDefault="00C60BD6" w:rsidP="00C60BD6">
      <w:r w:rsidRPr="00A836B9">
        <w:t>In addition to the above admissibility conditions, page limits will apply to parts of applications. The page limits</w:t>
      </w:r>
      <w:r w:rsidR="00B441DD" w:rsidRPr="00A836B9">
        <w:t>,</w:t>
      </w:r>
      <w:r w:rsidRPr="00A836B9">
        <w:t xml:space="preserve"> and sections subject to limits</w:t>
      </w:r>
      <w:r w:rsidR="00B441DD" w:rsidRPr="00A836B9">
        <w:t>,</w:t>
      </w:r>
      <w:r w:rsidRPr="00A836B9">
        <w:t xml:space="preserve"> will be clearly shown in the application templates in the Funding &amp; Tenders Portal electronic submission system.</w:t>
      </w:r>
    </w:p>
    <w:p w14:paraId="046F7BD0" w14:textId="185F1F00" w:rsidR="00C60BD6" w:rsidRPr="00A836B9" w:rsidRDefault="00C60BD6" w:rsidP="00C60BD6">
      <w:r w:rsidRPr="00A836B9">
        <w:t xml:space="preserve">Unless provided otherwise in the specific call conditions, </w:t>
      </w:r>
      <w:r w:rsidRPr="00A836B9">
        <w:rPr>
          <w:b/>
          <w:bCs/>
        </w:rPr>
        <w:t>the limit for a full application is 45 pages</w:t>
      </w:r>
      <w:r w:rsidRPr="00A836B9">
        <w:t xml:space="preserve"> (except for </w:t>
      </w:r>
      <w:r w:rsidR="00621506">
        <w:t>‘</w:t>
      </w:r>
      <w:r w:rsidRPr="00A836B9">
        <w:t>Coordination and support</w:t>
      </w:r>
      <w:r w:rsidR="00621506">
        <w:t>’</w:t>
      </w:r>
      <w:r w:rsidRPr="00A836B9">
        <w:t xml:space="preserve"> actions, where the limit is 30 pages</w:t>
      </w:r>
      <w:r w:rsidR="004606B4" w:rsidRPr="00A836B9">
        <w:t>,</w:t>
      </w:r>
      <w:r w:rsidRPr="00A836B9">
        <w:t xml:space="preserve"> and for </w:t>
      </w:r>
      <w:r w:rsidR="00621506">
        <w:t>‘</w:t>
      </w:r>
      <w:r w:rsidRPr="00A836B9">
        <w:t>Programme co-fund</w:t>
      </w:r>
      <w:r w:rsidR="00621506">
        <w:t>’</w:t>
      </w:r>
      <w:r w:rsidRPr="00A836B9">
        <w:t xml:space="preserve"> actions, where the limit is 70 pages). </w:t>
      </w:r>
    </w:p>
    <w:p w14:paraId="43ED7E27" w14:textId="77777777" w:rsidR="00C60BD6" w:rsidRPr="00A836B9" w:rsidRDefault="00C60BD6" w:rsidP="00C60BD6">
      <w:r w:rsidRPr="00A836B9">
        <w:t xml:space="preserve">The limit for a first-stage application is 10 pages. </w:t>
      </w:r>
    </w:p>
    <w:p w14:paraId="090D82BA" w14:textId="4A6688D4" w:rsidR="00C60BD6" w:rsidRPr="00A836B9" w:rsidRDefault="00C60BD6" w:rsidP="00C60BD6">
      <w:r w:rsidRPr="00A836B9">
        <w:t>If an application exceeds the limits, there will be an automatic warning and invitation to re-submit a version that conforms</w:t>
      </w:r>
      <w:r w:rsidR="00B441DD" w:rsidRPr="00A836B9">
        <w:t xml:space="preserve"> to these limits</w:t>
      </w:r>
      <w:r w:rsidRPr="00A836B9">
        <w:t>. After the call deadline, excess pages will be automatically made invisible, and will not be taken into consideration by the evaluators.</w:t>
      </w:r>
    </w:p>
    <w:p w14:paraId="2770E67B" w14:textId="1327FD00" w:rsidR="00C60BD6" w:rsidRPr="00A836B9" w:rsidRDefault="00C60BD6" w:rsidP="00C60BD6">
      <w:pPr>
        <w:keepNext/>
        <w:keepLines/>
        <w:spacing w:before="240" w:after="240"/>
        <w:outlineLvl w:val="1"/>
        <w:rPr>
          <w:rFonts w:eastAsiaTheme="majorEastAsia" w:cs="Times New Roman"/>
          <w:b/>
          <w:bCs/>
          <w:szCs w:val="28"/>
        </w:rPr>
      </w:pPr>
      <w:bookmarkStart w:id="4" w:name="_Toc66355168"/>
      <w:r w:rsidRPr="00A836B9">
        <w:rPr>
          <w:rFonts w:eastAsiaTheme="majorEastAsia" w:cs="Times New Roman"/>
          <w:b/>
          <w:bCs/>
          <w:szCs w:val="28"/>
        </w:rPr>
        <w:t>B — Eligibility</w:t>
      </w:r>
      <w:bookmarkEnd w:id="4"/>
      <w:r w:rsidRPr="00A836B9">
        <w:rPr>
          <w:rFonts w:eastAsiaTheme="majorEastAsia" w:cs="Times New Roman"/>
          <w:b/>
          <w:bCs/>
          <w:szCs w:val="28"/>
        </w:rPr>
        <w:t xml:space="preserve"> </w:t>
      </w:r>
    </w:p>
    <w:p w14:paraId="3146B688" w14:textId="519DD870" w:rsidR="00C60BD6" w:rsidRPr="00A836B9" w:rsidRDefault="00C60BD6" w:rsidP="490E705E">
      <w:pPr>
        <w:rPr>
          <w:b/>
          <w:bCs/>
          <w:i/>
          <w:iCs/>
          <w:u w:val="single"/>
        </w:rPr>
      </w:pPr>
      <w:r w:rsidRPr="00A836B9">
        <w:rPr>
          <w:b/>
          <w:bCs/>
          <w:i/>
          <w:iCs/>
          <w:u w:val="single"/>
        </w:rPr>
        <w:t xml:space="preserve">Entities eligible </w:t>
      </w:r>
      <w:r w:rsidR="00B441DD" w:rsidRPr="00A836B9">
        <w:rPr>
          <w:b/>
          <w:bCs/>
          <w:i/>
          <w:iCs/>
          <w:u w:val="single"/>
        </w:rPr>
        <w:t>to</w:t>
      </w:r>
      <w:r w:rsidRPr="00A836B9">
        <w:rPr>
          <w:b/>
          <w:bCs/>
          <w:i/>
          <w:iCs/>
          <w:u w:val="single"/>
        </w:rPr>
        <w:t xml:space="preserve"> participat</w:t>
      </w:r>
      <w:r w:rsidR="00B441DD" w:rsidRPr="00A836B9">
        <w:rPr>
          <w:b/>
          <w:bCs/>
          <w:i/>
          <w:iCs/>
          <w:u w:val="single"/>
        </w:rPr>
        <w:t>e</w:t>
      </w:r>
      <w:r w:rsidRPr="00A836B9">
        <w:rPr>
          <w:b/>
          <w:bCs/>
          <w:i/>
          <w:iCs/>
          <w:u w:val="single"/>
        </w:rPr>
        <w:t xml:space="preserve"> </w:t>
      </w:r>
    </w:p>
    <w:p w14:paraId="00D53B94" w14:textId="2BA38DE8" w:rsidR="00C60BD6" w:rsidRPr="00A836B9" w:rsidRDefault="00C60BD6" w:rsidP="00C60BD6">
      <w:r w:rsidRPr="00A836B9">
        <w:t>Any legal entity, regardless of its place of establishment, including legal entities from non-associated third countries or international organisation</w:t>
      </w:r>
      <w:r w:rsidR="00B441DD" w:rsidRPr="00A836B9">
        <w:t>s</w:t>
      </w:r>
      <w:r w:rsidRPr="00A836B9">
        <w:t xml:space="preserve"> (including international European research organisations</w:t>
      </w:r>
      <w:r w:rsidRPr="00A836B9">
        <w:rPr>
          <w:vertAlign w:val="superscript"/>
        </w:rPr>
        <w:footnoteReference w:id="1"/>
      </w:r>
      <w:r w:rsidRPr="00A836B9">
        <w:t>) is eligible to participate</w:t>
      </w:r>
      <w:r w:rsidR="003670CC" w:rsidRPr="00A836B9">
        <w:t xml:space="preserve"> (whether it is eligible </w:t>
      </w:r>
      <w:r w:rsidR="00B441DD" w:rsidRPr="00A836B9">
        <w:t>for</w:t>
      </w:r>
      <w:r w:rsidR="003670CC" w:rsidRPr="00A836B9">
        <w:t xml:space="preserve"> funding or not)</w:t>
      </w:r>
      <w:r w:rsidRPr="00A836B9">
        <w:t xml:space="preserve">, provided that the conditions laid down in the </w:t>
      </w:r>
      <w:r w:rsidR="0086116D" w:rsidRPr="00A836B9">
        <w:t>Horizon Europe Regulation</w:t>
      </w:r>
      <w:r w:rsidRPr="00A836B9">
        <w:t xml:space="preserve"> have been met</w:t>
      </w:r>
      <w:r w:rsidR="00B441DD" w:rsidRPr="00A836B9">
        <w:t>, along</w:t>
      </w:r>
      <w:r w:rsidRPr="00A836B9">
        <w:t xml:space="preserve"> with any other conditions laid down in the specific call topic.</w:t>
      </w:r>
    </w:p>
    <w:p w14:paraId="0F5B4AC6" w14:textId="4D744122" w:rsidR="00C60BD6" w:rsidRPr="00A836B9" w:rsidRDefault="00C60BD6" w:rsidP="490E705E">
      <w:pPr>
        <w:rPr>
          <w:iCs/>
        </w:rPr>
      </w:pPr>
      <w:r w:rsidRPr="00A836B9">
        <w:t xml:space="preserve">A </w:t>
      </w:r>
      <w:r w:rsidR="00B441DD" w:rsidRPr="00A836B9">
        <w:t>‘</w:t>
      </w:r>
      <w:r w:rsidRPr="00A836B9">
        <w:t>legal entity</w:t>
      </w:r>
      <w:r w:rsidR="00B441DD" w:rsidRPr="00A836B9">
        <w:t>’</w:t>
      </w:r>
      <w:r w:rsidRPr="00A836B9">
        <w:t xml:space="preserve"> means any natural or legal person created and recognised as such under national law, </w:t>
      </w:r>
      <w:r w:rsidR="00E169D8" w:rsidRPr="00A836B9">
        <w:t>E</w:t>
      </w:r>
      <w:r w:rsidRPr="00A836B9">
        <w:t>U law or international law, which has legal personality and which may, acting in its own name, exercise rights and be subject to obligations, or an entity without legal personality</w:t>
      </w:r>
      <w:r w:rsidRPr="00A836B9">
        <w:rPr>
          <w:vertAlign w:val="superscript"/>
        </w:rPr>
        <w:footnoteReference w:id="2"/>
      </w:r>
      <w:r w:rsidRPr="00A836B9">
        <w:t>.</w:t>
      </w:r>
    </w:p>
    <w:p w14:paraId="3C5055A3" w14:textId="05FA5085" w:rsidR="00C60BD6" w:rsidRPr="00A836B9" w:rsidRDefault="00C60BD6" w:rsidP="00C60BD6">
      <w:r w:rsidRPr="00A836B9">
        <w:t xml:space="preserve">Beneficiaries and affiliated entities must register in the </w:t>
      </w:r>
      <w:hyperlink r:id="rId13" w:history="1">
        <w:r w:rsidRPr="00A836B9">
          <w:rPr>
            <w:color w:val="0088CC"/>
            <w:u w:val="single"/>
          </w:rPr>
          <w:t>Participant Register</w:t>
        </w:r>
      </w:hyperlink>
      <w:r w:rsidRPr="00A836B9">
        <w:t xml:space="preserve"> before submitting their application</w:t>
      </w:r>
      <w:r w:rsidR="00E169D8" w:rsidRPr="00A836B9">
        <w:t>,</w:t>
      </w:r>
      <w:r w:rsidRPr="00A836B9">
        <w:t xml:space="preserve"> in order to get a </w:t>
      </w:r>
      <w:r w:rsidR="00621506">
        <w:t>p</w:t>
      </w:r>
      <w:r w:rsidRPr="00A836B9">
        <w:t xml:space="preserve">articipant </w:t>
      </w:r>
      <w:r w:rsidR="00621506">
        <w:t>i</w:t>
      </w:r>
      <w:r w:rsidRPr="00A836B9">
        <w:t xml:space="preserve">dentification </w:t>
      </w:r>
      <w:r w:rsidR="00621506">
        <w:t>c</w:t>
      </w:r>
      <w:r w:rsidRPr="00A836B9">
        <w:t xml:space="preserve">ode (PIC) and be validated by the Central Validation Service (REA Validation) before </w:t>
      </w:r>
      <w:r w:rsidR="00E169D8" w:rsidRPr="00A836B9">
        <w:t xml:space="preserve">signing the </w:t>
      </w:r>
      <w:r w:rsidRPr="00A836B9">
        <w:t xml:space="preserve">grant agreement. For the validation, they will be </w:t>
      </w:r>
      <w:r w:rsidR="00E169D8" w:rsidRPr="00A836B9">
        <w:t>asked</w:t>
      </w:r>
      <w:r w:rsidRPr="00A836B9">
        <w:t xml:space="preserve"> to upload the necessary documents showing </w:t>
      </w:r>
      <w:r w:rsidR="003528F5" w:rsidRPr="00A836B9">
        <w:t xml:space="preserve">their </w:t>
      </w:r>
      <w:r w:rsidRPr="00A836B9">
        <w:t xml:space="preserve">legal status and origin during </w:t>
      </w:r>
      <w:r w:rsidR="00807208" w:rsidRPr="00A836B9">
        <w:t xml:space="preserve">the </w:t>
      </w:r>
      <w:r w:rsidRPr="00A836B9">
        <w:t>grant preparation</w:t>
      </w:r>
      <w:r w:rsidR="00F81DED">
        <w:t xml:space="preserve"> stage</w:t>
      </w:r>
      <w:r w:rsidRPr="00A836B9">
        <w:t>.</w:t>
      </w:r>
      <w:r w:rsidR="003670CC" w:rsidRPr="00A836B9">
        <w:t xml:space="preserve"> A validated PIC is not a prerequisite for submi</w:t>
      </w:r>
      <w:r w:rsidR="00E169D8" w:rsidRPr="00A836B9">
        <w:t>tting</w:t>
      </w:r>
      <w:r w:rsidR="003670CC" w:rsidRPr="00A836B9">
        <w:t xml:space="preserve"> an application.</w:t>
      </w:r>
    </w:p>
    <w:p w14:paraId="70F22D09" w14:textId="77777777" w:rsidR="00C60BD6" w:rsidRPr="00A836B9" w:rsidRDefault="00C60BD6" w:rsidP="490E705E">
      <w:pPr>
        <w:rPr>
          <w:i/>
          <w:iCs/>
        </w:rPr>
      </w:pPr>
      <w:r w:rsidRPr="00A836B9">
        <w:rPr>
          <w:i/>
          <w:iCs/>
        </w:rPr>
        <w:t>Specific cases:</w:t>
      </w:r>
    </w:p>
    <w:p w14:paraId="15B69A20" w14:textId="6EEFAC65" w:rsidR="00C60BD6" w:rsidRPr="00A836B9" w:rsidRDefault="00C60BD6" w:rsidP="490E705E">
      <w:pPr>
        <w:rPr>
          <w:iCs/>
        </w:rPr>
      </w:pPr>
      <w:r w:rsidRPr="00A836B9">
        <w:rPr>
          <w:b/>
          <w:bCs/>
        </w:rPr>
        <w:t>Affiliated entities</w:t>
      </w:r>
      <w:r w:rsidRPr="00A836B9">
        <w:t xml:space="preserve"> — Affiliated entities (i.e. entities linked</w:t>
      </w:r>
      <w:r w:rsidRPr="00A836B9">
        <w:rPr>
          <w:b/>
          <w:bCs/>
        </w:rPr>
        <w:t xml:space="preserve"> </w:t>
      </w:r>
      <w:r w:rsidRPr="00A836B9">
        <w:t>to a beneficiary</w:t>
      </w:r>
      <w:r w:rsidRPr="00A836B9">
        <w:rPr>
          <w:vertAlign w:val="superscript"/>
        </w:rPr>
        <w:footnoteReference w:id="3"/>
      </w:r>
      <w:r w:rsidRPr="00A836B9">
        <w:t xml:space="preserve"> which participate in the action with similar rights and obligations </w:t>
      </w:r>
      <w:r w:rsidR="00D07181" w:rsidRPr="00A836B9">
        <w:t>to</w:t>
      </w:r>
      <w:r w:rsidRPr="00A836B9">
        <w:t xml:space="preserve"> the beneficiaries, but </w:t>
      </w:r>
      <w:r w:rsidR="00807208" w:rsidRPr="00A836B9">
        <w:t xml:space="preserve">which </w:t>
      </w:r>
      <w:r w:rsidRPr="00A836B9">
        <w:t xml:space="preserve">do not </w:t>
      </w:r>
      <w:r w:rsidR="003670CC" w:rsidRPr="00A836B9">
        <w:t xml:space="preserve">sign the grant agreement and therefore do not </w:t>
      </w:r>
      <w:r w:rsidRPr="00A836B9">
        <w:t>become beneficiaries themselves) are allowed, if they fulfil the eligibility conditions.</w:t>
      </w:r>
    </w:p>
    <w:p w14:paraId="194367D0" w14:textId="365D7CDF" w:rsidR="00C60BD6" w:rsidRPr="00A836B9" w:rsidRDefault="00C60BD6" w:rsidP="490E705E">
      <w:pPr>
        <w:rPr>
          <w:iCs/>
        </w:rPr>
      </w:pPr>
      <w:r w:rsidRPr="00A836B9">
        <w:rPr>
          <w:b/>
          <w:bCs/>
        </w:rPr>
        <w:t>Associated partners</w:t>
      </w:r>
      <w:r w:rsidRPr="00A836B9">
        <w:t xml:space="preserve"> — Associated partners (i.e. entities which participate in the action</w:t>
      </w:r>
      <w:r w:rsidR="003670CC" w:rsidRPr="00A836B9">
        <w:t xml:space="preserve"> without signing the grant agreement</w:t>
      </w:r>
      <w:r w:rsidRPr="00A836B9">
        <w:t>, but without the right to charge costs or claim contributions) are allowed.</w:t>
      </w:r>
    </w:p>
    <w:p w14:paraId="49F25427" w14:textId="64A27DC8" w:rsidR="00C60BD6" w:rsidRPr="00A836B9" w:rsidRDefault="00C60BD6" w:rsidP="490E705E">
      <w:pPr>
        <w:rPr>
          <w:iCs/>
        </w:rPr>
      </w:pPr>
      <w:r w:rsidRPr="00A836B9">
        <w:rPr>
          <w:b/>
          <w:bCs/>
        </w:rPr>
        <w:t>Entities without legal personality</w:t>
      </w:r>
      <w:r w:rsidRPr="00A836B9">
        <w:t xml:space="preserve"> — Entities which do not have legal personality under their national law may exceptionally participate, provided that their representatives have the capacity to undertake legal obligations on their behalf, and offer guarantees </w:t>
      </w:r>
      <w:r w:rsidR="001C022F" w:rsidRPr="00A836B9">
        <w:t>to</w:t>
      </w:r>
      <w:r w:rsidRPr="00A836B9">
        <w:t xml:space="preserve"> protect the EU</w:t>
      </w:r>
      <w:r w:rsidR="00BD54B5" w:rsidRPr="00A836B9">
        <w:t>’s</w:t>
      </w:r>
      <w:r w:rsidRPr="00A836B9">
        <w:t xml:space="preserve"> financial interests equivalent to th</w:t>
      </w:r>
      <w:r w:rsidR="001C022F" w:rsidRPr="00A836B9">
        <w:t>ose</w:t>
      </w:r>
      <w:r w:rsidRPr="00A836B9">
        <w:t xml:space="preserve"> offered by legal persons</w:t>
      </w:r>
      <w:r w:rsidRPr="00A836B9">
        <w:rPr>
          <w:vertAlign w:val="superscript"/>
        </w:rPr>
        <w:footnoteReference w:id="4"/>
      </w:r>
      <w:r w:rsidRPr="00A836B9">
        <w:t>.</w:t>
      </w:r>
    </w:p>
    <w:p w14:paraId="1DD2E0F4" w14:textId="153D1C46" w:rsidR="004746B1" w:rsidRDefault="00C60BD6" w:rsidP="00C60BD6">
      <w:r w:rsidRPr="00A836B9">
        <w:rPr>
          <w:b/>
          <w:bCs/>
        </w:rPr>
        <w:t>EU bodies</w:t>
      </w:r>
      <w:r w:rsidRPr="00A836B9">
        <w:t xml:space="preserve"> — Legal entities created under EU law</w:t>
      </w:r>
      <w:r w:rsidR="004746B1">
        <w:t xml:space="preserve"> including decentralised agencies</w:t>
      </w:r>
      <w:r w:rsidRPr="00A836B9">
        <w:t xml:space="preserve"> may be part of the consortium, unless provided for otherwise in their basic act. </w:t>
      </w:r>
    </w:p>
    <w:p w14:paraId="709341D8" w14:textId="524872FB" w:rsidR="00C60BD6" w:rsidRPr="00A836B9" w:rsidRDefault="004746B1" w:rsidP="00C60BD6">
      <w:r w:rsidRPr="00F92BF7">
        <w:rPr>
          <w:b/>
        </w:rPr>
        <w:t>Joint Research Centre</w:t>
      </w:r>
      <w:r>
        <w:t xml:space="preserve"> </w:t>
      </w:r>
      <w:r w:rsidRPr="004746B1">
        <w:t xml:space="preserve">— </w:t>
      </w:r>
      <w:r w:rsidR="00C60BD6" w:rsidRPr="00A836B9">
        <w:t xml:space="preserve">Where </w:t>
      </w:r>
      <w:r w:rsidR="00DD2449" w:rsidRPr="00A836B9">
        <w:t xml:space="preserve">provided </w:t>
      </w:r>
      <w:r w:rsidR="00807208" w:rsidRPr="00A836B9">
        <w:t xml:space="preserve">for </w:t>
      </w:r>
      <w:r w:rsidR="00DD2449" w:rsidRPr="00A836B9">
        <w:t xml:space="preserve">in the specific </w:t>
      </w:r>
      <w:r w:rsidR="0049153E" w:rsidRPr="00A836B9">
        <w:t>call</w:t>
      </w:r>
      <w:r w:rsidR="00DD2449" w:rsidRPr="00A836B9">
        <w:t xml:space="preserve"> conditions</w:t>
      </w:r>
      <w:r w:rsidR="00C60BD6" w:rsidRPr="00A836B9">
        <w:t>,</w:t>
      </w:r>
      <w:r w:rsidR="00C60BD6" w:rsidRPr="00A836B9" w:rsidDel="000157C2">
        <w:t xml:space="preserve"> </w:t>
      </w:r>
      <w:r w:rsidRPr="004746B1">
        <w:t xml:space="preserve">applicants may include in their proposals the possible contribution of the </w:t>
      </w:r>
      <w:r w:rsidR="00F92BF7">
        <w:t>JRC</w:t>
      </w:r>
      <w:r w:rsidRPr="004746B1">
        <w:t xml:space="preserve"> but the JRC will not participate in the preparation and submission of the proposal. Applicants will indicate the contribution that the JRC could bring to the project based on the scope of the topic text. After the evaluation process, the JRC and the consortium selected for funding may come to an agreement on the specific terms of the participation of the JRC. If an agreement is found, the JRC would accede to the grant agreement as beneficiary requesting zero funding and would accede to the consortium as a member</w:t>
      </w:r>
      <w:r w:rsidR="00C60BD6" w:rsidRPr="00A836B9">
        <w:t>.</w:t>
      </w:r>
    </w:p>
    <w:p w14:paraId="5C51E7F7" w14:textId="4AB28992" w:rsidR="00C60BD6" w:rsidRPr="00A836B9" w:rsidRDefault="00C60BD6" w:rsidP="00C60BD6">
      <w:r w:rsidRPr="00A836B9">
        <w:rPr>
          <w:b/>
          <w:bCs/>
        </w:rPr>
        <w:t>Associations and interest groupings</w:t>
      </w:r>
      <w:r w:rsidRPr="00A836B9">
        <w:t xml:space="preserve"> — Entities composed of members </w:t>
      </w:r>
      <w:r w:rsidRPr="00A836B9">
        <w:rPr>
          <w:iCs/>
        </w:rPr>
        <w:t>(e.g. European research infrastructure consortia (ERICs))</w:t>
      </w:r>
      <w:r w:rsidRPr="00A836B9">
        <w:t xml:space="preserve"> may participate as ‘sole beneficiaries’ or ‘beneficiaries without legal personality’</w:t>
      </w:r>
      <w:r w:rsidRPr="00A836B9">
        <w:rPr>
          <w:vertAlign w:val="superscript"/>
        </w:rPr>
        <w:footnoteReference w:id="5"/>
      </w:r>
      <w:r w:rsidRPr="00A836B9">
        <w:t>. However, if the action is in practice implemented by the individual members, those members should also participate (either as beneficiaries or as affiliated entities, otherwise their costs will NOT be eligible).</w:t>
      </w:r>
    </w:p>
    <w:p w14:paraId="4D3CC92B" w14:textId="4B952295" w:rsidR="00C60BD6" w:rsidRPr="00A836B9" w:rsidRDefault="00C60BD6" w:rsidP="00C60BD6">
      <w:r w:rsidRPr="00A836B9">
        <w:rPr>
          <w:b/>
          <w:bCs/>
        </w:rPr>
        <w:t xml:space="preserve">Restrictions on participation or control </w:t>
      </w:r>
      <w:r w:rsidRPr="00A836B9">
        <w:t xml:space="preserve">— For actions related to EU strategic assets, interests, autonomy or security, </w:t>
      </w:r>
      <w:r w:rsidR="00F92BF7">
        <w:t xml:space="preserve">the specific </w:t>
      </w:r>
      <w:r w:rsidRPr="00A836B9">
        <w:t>topic</w:t>
      </w:r>
      <w:r w:rsidR="00F92BF7">
        <w:t xml:space="preserve"> condition</w:t>
      </w:r>
      <w:r w:rsidRPr="00A836B9">
        <w:t xml:space="preserve">s may limit participation to legal entities established </w:t>
      </w:r>
      <w:r w:rsidR="0086116D" w:rsidRPr="00A836B9">
        <w:t xml:space="preserve">only </w:t>
      </w:r>
      <w:r w:rsidRPr="00A836B9">
        <w:t>in EU Member States or in EU Member States and specific associated or non-associated third countries.</w:t>
      </w:r>
      <w:r w:rsidRPr="00A836B9">
        <w:rPr>
          <w:i/>
          <w:iCs/>
        </w:rPr>
        <w:t xml:space="preserve"> </w:t>
      </w:r>
      <w:r w:rsidRPr="00A836B9">
        <w:t>In addition, for duly justified and exceptional reasons,</w:t>
      </w:r>
      <w:r w:rsidRPr="00A836B9">
        <w:rPr>
          <w:i/>
          <w:iCs/>
        </w:rPr>
        <w:t xml:space="preserve"> </w:t>
      </w:r>
      <w:r w:rsidRPr="00A836B9">
        <w:t xml:space="preserve">to guarantee protection of the strategic interests of the EU and its Member States, </w:t>
      </w:r>
      <w:r w:rsidR="000C4A54" w:rsidRPr="00A836B9">
        <w:t>the specific call conditions</w:t>
      </w:r>
      <w:r w:rsidRPr="00A836B9">
        <w:t xml:space="preserve"> may also exclude the participation of legal entities directly or indirectly controlled from non-associated third countries (or make their participation subject to specific conditions).</w:t>
      </w:r>
      <w:r w:rsidR="00DD2449" w:rsidRPr="00A836B9">
        <w:t xml:space="preserve"> </w:t>
      </w:r>
      <w:r w:rsidR="00D80400" w:rsidRPr="00A836B9">
        <w:t>In this case, the eligible countries</w:t>
      </w:r>
      <w:r w:rsidR="00DD2449" w:rsidRPr="00A836B9">
        <w:t xml:space="preserve"> will be </w:t>
      </w:r>
      <w:r w:rsidR="00AD67AB" w:rsidRPr="00A836B9">
        <w:t>identified</w:t>
      </w:r>
      <w:r w:rsidR="00DD2449" w:rsidRPr="00A836B9">
        <w:t xml:space="preserve"> in the specific </w:t>
      </w:r>
      <w:r w:rsidR="0049153E" w:rsidRPr="00A836B9">
        <w:t>call</w:t>
      </w:r>
      <w:r w:rsidR="00DD2449" w:rsidRPr="00A836B9">
        <w:t xml:space="preserve"> conditions.</w:t>
      </w:r>
    </w:p>
    <w:p w14:paraId="2FFE59AD" w14:textId="29C97146" w:rsidR="00C60BD6" w:rsidRDefault="00C60BD6" w:rsidP="00C60BD6">
      <w:r w:rsidRPr="00A836B9">
        <w:rPr>
          <w:b/>
          <w:bCs/>
        </w:rPr>
        <w:t>EU restrictive measures</w:t>
      </w:r>
      <w:r w:rsidRPr="00A836B9">
        <w:t xml:space="preserve"> — Special rules apply for entities from certain countries </w:t>
      </w:r>
      <w:r w:rsidRPr="00A836B9">
        <w:rPr>
          <w:rFonts w:cs="Arial"/>
          <w:iCs/>
        </w:rPr>
        <w:t xml:space="preserve">(e.g. </w:t>
      </w:r>
      <w:r w:rsidR="00F92BF7">
        <w:rPr>
          <w:rFonts w:cs="Arial"/>
          <w:iCs/>
        </w:rPr>
        <w:t xml:space="preserve">when </w:t>
      </w:r>
      <w:r w:rsidRPr="00A836B9">
        <w:rPr>
          <w:rFonts w:cs="Arial"/>
          <w:iCs/>
        </w:rPr>
        <w:t xml:space="preserve">entities </w:t>
      </w:r>
      <w:r w:rsidR="00F92BF7">
        <w:rPr>
          <w:rFonts w:cs="Arial"/>
          <w:iCs/>
        </w:rPr>
        <w:t xml:space="preserve">are </w:t>
      </w:r>
      <w:r w:rsidRPr="00A836B9">
        <w:rPr>
          <w:rFonts w:eastAsia="Arial Unicode MS"/>
          <w:iCs/>
        </w:rPr>
        <w:t xml:space="preserve">subject to </w:t>
      </w:r>
      <w:hyperlink r:id="rId14" w:history="1">
        <w:r w:rsidRPr="00A836B9">
          <w:rPr>
            <w:rFonts w:eastAsia="Arial Unicode MS"/>
            <w:iCs/>
            <w:color w:val="0088CC"/>
            <w:u w:val="single"/>
          </w:rPr>
          <w:t>EU restrictive measures</w:t>
        </w:r>
      </w:hyperlink>
      <w:r w:rsidRPr="00A836B9">
        <w:rPr>
          <w:rFonts w:eastAsia="Arial Unicode MS"/>
          <w:iCs/>
        </w:rPr>
        <w:t xml:space="preserve"> under Article </w:t>
      </w:r>
      <w:r w:rsidRPr="00A836B9">
        <w:rPr>
          <w:iCs/>
        </w:rPr>
        <w:t>29 of the Treaty on the European Union (TEU) and</w:t>
      </w:r>
      <w:r w:rsidRPr="00A836B9">
        <w:t xml:space="preserve"> </w:t>
      </w:r>
      <w:r w:rsidRPr="00A836B9">
        <w:rPr>
          <w:iCs/>
        </w:rPr>
        <w:t>Article 215 of the Treaty on the Functioning of the EU (TFEU)</w:t>
      </w:r>
      <w:r w:rsidRPr="00A836B9">
        <w:rPr>
          <w:iCs/>
          <w:vertAlign w:val="superscript"/>
        </w:rPr>
        <w:footnoteReference w:id="6"/>
      </w:r>
      <w:r w:rsidRPr="00A836B9">
        <w:rPr>
          <w:rFonts w:cs="Arial"/>
          <w:iCs/>
        </w:rPr>
        <w:t>)</w:t>
      </w:r>
      <w:r w:rsidRPr="00A836B9">
        <w:t>. Such entities are not eligible to participate in any capacity, including as beneficiaries, affiliated entities, associated partners, third parties giving in-kind contributions, subcontractors or recipients of financial support to third parties (if any)</w:t>
      </w:r>
      <w:r w:rsidR="00924847" w:rsidRPr="00A836B9">
        <w:rPr>
          <w:rStyle w:val="FootnoteReference"/>
        </w:rPr>
        <w:footnoteReference w:id="7"/>
      </w:r>
      <w:r w:rsidRPr="00A836B9">
        <w:t>.</w:t>
      </w:r>
    </w:p>
    <w:p w14:paraId="27F96D36" w14:textId="77777777" w:rsidR="00F92BF7" w:rsidRPr="00F92BF7" w:rsidRDefault="00F92BF7" w:rsidP="00F92BF7">
      <w:r w:rsidRPr="00F92BF7">
        <w:t>Special rules also apply to entites covered by Commission Guidelines No 2013/C 205/05</w:t>
      </w:r>
      <w:r w:rsidRPr="00F92BF7">
        <w:rPr>
          <w:vertAlign w:val="superscript"/>
        </w:rPr>
        <w:footnoteReference w:id="8"/>
      </w:r>
      <w:r w:rsidRPr="00F92BF7">
        <w:t>.</w:t>
      </w:r>
    </w:p>
    <w:p w14:paraId="4BC320A2" w14:textId="77777777" w:rsidR="00C60BD6" w:rsidRPr="00A836B9" w:rsidRDefault="00C60BD6" w:rsidP="00C60BD6">
      <w:r w:rsidRPr="00A836B9">
        <w:rPr>
          <w:noProof/>
        </w:rPr>
        <w:drawing>
          <wp:inline distT="0" distB="0" distL="0" distR="0" wp14:anchorId="64B27B32" wp14:editId="2E2D1DDC">
            <wp:extent cx="146685" cy="146685"/>
            <wp:effectExtent l="0" t="0" r="5715" b="5715"/>
            <wp:docPr id="11" name="Picture 11" descr="https://lh5.googleusercontent.com/-n5VVWXljoCs/T8X1egaB-BI/AAAAAAAAC1I/fLBP4VIzxQM/s16/infoIc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n5VVWXljoCs/T8X1egaB-BI/AAAAAAAAC1I/fLBP4VIzxQM/s16/infoIcon_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A836B9">
        <w:t xml:space="preserve"> For more information, </w:t>
      </w:r>
      <w:r w:rsidRPr="00A836B9">
        <w:rPr>
          <w:i/>
          <w:iCs/>
        </w:rPr>
        <w:t xml:space="preserve">see </w:t>
      </w:r>
      <w:hyperlink r:id="rId16" w:history="1">
        <w:r w:rsidRPr="00A836B9">
          <w:rPr>
            <w:i/>
            <w:iCs/>
            <w:color w:val="0088CC"/>
            <w:u w:val="single"/>
          </w:rPr>
          <w:t>Rules for Legal Entity Validation, LEAR Appointment and Financial Capacity Assessment</w:t>
        </w:r>
      </w:hyperlink>
      <w:r w:rsidRPr="00A836B9">
        <w:t xml:space="preserve">. </w:t>
      </w:r>
    </w:p>
    <w:p w14:paraId="17C7B814" w14:textId="77777777" w:rsidR="00C60BD6" w:rsidRPr="00A836B9" w:rsidRDefault="00C60BD6" w:rsidP="490E705E">
      <w:pPr>
        <w:rPr>
          <w:b/>
          <w:bCs/>
          <w:i/>
          <w:iCs/>
          <w:u w:val="single"/>
        </w:rPr>
      </w:pPr>
      <w:r w:rsidRPr="00A836B9">
        <w:rPr>
          <w:b/>
          <w:bCs/>
          <w:i/>
          <w:iCs/>
          <w:u w:val="single"/>
        </w:rPr>
        <w:t xml:space="preserve">Entities eligible for funding </w:t>
      </w:r>
    </w:p>
    <w:p w14:paraId="63ED86D8" w14:textId="3AC5B9C8" w:rsidR="00C60BD6" w:rsidRPr="00A836B9" w:rsidRDefault="005C17BA" w:rsidP="00C60BD6">
      <w:r w:rsidRPr="00A836B9">
        <w:t>T</w:t>
      </w:r>
      <w:r w:rsidR="00C60BD6" w:rsidRPr="00A836B9">
        <w:t xml:space="preserve">o be eligible for funding, applicants must be established in one of the eligible countries, i.e.: </w:t>
      </w:r>
    </w:p>
    <w:p w14:paraId="1A356886" w14:textId="598BD7DD" w:rsidR="004E3001" w:rsidRPr="00A836B9" w:rsidRDefault="005C17BA" w:rsidP="00C60BD6">
      <w:pPr>
        <w:numPr>
          <w:ilvl w:val="0"/>
          <w:numId w:val="21"/>
        </w:numPr>
      </w:pPr>
      <w:r w:rsidRPr="00A836B9">
        <w:t>t</w:t>
      </w:r>
      <w:r w:rsidR="004E3001" w:rsidRPr="00A836B9">
        <w:t>he</w:t>
      </w:r>
      <w:r w:rsidR="004E3001" w:rsidRPr="00A836B9" w:rsidDel="00254EB1">
        <w:t xml:space="preserve"> </w:t>
      </w:r>
      <w:r w:rsidR="00C60BD6" w:rsidRPr="00A836B9" w:rsidDel="00254EB1">
        <w:t xml:space="preserve">Member States </w:t>
      </w:r>
      <w:r w:rsidR="004E3001" w:rsidRPr="00A836B9">
        <w:t>of the European Union</w:t>
      </w:r>
      <w:r w:rsidR="001C022F" w:rsidRPr="00A836B9">
        <w:t>,</w:t>
      </w:r>
      <w:r w:rsidR="004E3001" w:rsidRPr="00A836B9">
        <w:t xml:space="preserve"> </w:t>
      </w:r>
      <w:r w:rsidR="00C60BD6" w:rsidRPr="00A836B9" w:rsidDel="00254EB1">
        <w:t xml:space="preserve">including </w:t>
      </w:r>
      <w:r w:rsidR="004E3001" w:rsidRPr="00A836B9">
        <w:t>their outermost regions</w:t>
      </w:r>
      <w:r w:rsidR="001C022F" w:rsidRPr="00A836B9">
        <w:t>;</w:t>
      </w:r>
    </w:p>
    <w:p w14:paraId="06235B85" w14:textId="64E5191E" w:rsidR="004E3001" w:rsidRPr="00A836B9" w:rsidDel="00254EB1" w:rsidRDefault="005C17BA" w:rsidP="004E3001">
      <w:pPr>
        <w:numPr>
          <w:ilvl w:val="0"/>
          <w:numId w:val="21"/>
        </w:numPr>
      </w:pPr>
      <w:r w:rsidRPr="00A836B9">
        <w:t>t</w:t>
      </w:r>
      <w:r w:rsidR="004E3001" w:rsidRPr="00A836B9">
        <w:t>he O</w:t>
      </w:r>
      <w:r w:rsidR="00C60BD6" w:rsidRPr="00A836B9" w:rsidDel="00254EB1">
        <w:t xml:space="preserve">verseas </w:t>
      </w:r>
      <w:r w:rsidR="004E3001" w:rsidRPr="00A836B9">
        <w:t>C</w:t>
      </w:r>
      <w:r w:rsidR="00C60BD6" w:rsidRPr="00A836B9" w:rsidDel="00254EB1">
        <w:t xml:space="preserve">ountries and </w:t>
      </w:r>
      <w:r w:rsidR="004E3001" w:rsidRPr="00A836B9">
        <w:t>T</w:t>
      </w:r>
      <w:r w:rsidR="00C60BD6" w:rsidRPr="00A836B9" w:rsidDel="00254EB1">
        <w:t>erritories (OCTs)</w:t>
      </w:r>
      <w:r w:rsidR="004E3001" w:rsidRPr="00A836B9">
        <w:t xml:space="preserve"> linked to the Member States</w:t>
      </w:r>
      <w:r w:rsidR="004E3001" w:rsidRPr="00A836B9">
        <w:rPr>
          <w:rStyle w:val="FootnoteReference"/>
        </w:rPr>
        <w:footnoteReference w:id="9"/>
      </w:r>
      <w:r w:rsidR="001C022F" w:rsidRPr="00A836B9">
        <w:t>;</w:t>
      </w:r>
    </w:p>
    <w:p w14:paraId="7E393FBC" w14:textId="77777777" w:rsidR="00C60BD6" w:rsidRPr="00A836B9" w:rsidRDefault="00C60BD6" w:rsidP="00C60BD6">
      <w:pPr>
        <w:numPr>
          <w:ilvl w:val="0"/>
          <w:numId w:val="21"/>
        </w:numPr>
      </w:pPr>
      <w:r w:rsidRPr="00A836B9" w:rsidDel="00254EB1">
        <w:t>eligible non-EU countries:</w:t>
      </w:r>
    </w:p>
    <w:p w14:paraId="754F16C4" w14:textId="440179F3" w:rsidR="00C60BD6" w:rsidRPr="00A836B9" w:rsidRDefault="005C17BA" w:rsidP="00C60BD6">
      <w:pPr>
        <w:numPr>
          <w:ilvl w:val="1"/>
          <w:numId w:val="21"/>
        </w:numPr>
      </w:pPr>
      <w:r w:rsidRPr="00A836B9">
        <w:t>c</w:t>
      </w:r>
      <w:r w:rsidR="00C60BD6" w:rsidRPr="00A836B9" w:rsidDel="00254EB1">
        <w:t xml:space="preserve">ountries </w:t>
      </w:r>
      <w:r w:rsidR="00C60BD6" w:rsidRPr="00A836B9">
        <w:t>a</w:t>
      </w:r>
      <w:r w:rsidR="00C60BD6" w:rsidRPr="00A836B9" w:rsidDel="00254EB1">
        <w:t xml:space="preserve">ssociated </w:t>
      </w:r>
      <w:r w:rsidR="00C60BD6" w:rsidRPr="00A836B9">
        <w:t xml:space="preserve">to </w:t>
      </w:r>
      <w:r w:rsidR="00C60BD6" w:rsidRPr="00A836B9" w:rsidDel="00254EB1">
        <w:t>Horizon Europe</w:t>
      </w:r>
      <w:r w:rsidR="00C60BD6" w:rsidRPr="00A836B9">
        <w:rPr>
          <w:vertAlign w:val="superscript"/>
        </w:rPr>
        <w:footnoteReference w:id="10"/>
      </w:r>
      <w:r w:rsidR="003D0469" w:rsidRPr="00A836B9">
        <w:t>;</w:t>
      </w:r>
      <w:r w:rsidR="00C60BD6" w:rsidRPr="00A836B9" w:rsidDel="00254EB1">
        <w:t xml:space="preserve"> </w:t>
      </w:r>
    </w:p>
    <w:p w14:paraId="762946A0" w14:textId="7E9B20AC" w:rsidR="00C60BD6" w:rsidRPr="00A836B9" w:rsidRDefault="00C60BD6" w:rsidP="00DD2449">
      <w:pPr>
        <w:ind w:left="1506"/>
      </w:pPr>
      <w:r w:rsidRPr="003569E8">
        <w:t xml:space="preserve">At the date of the publication of the work programme, there are no countries associated to Horizon Europe. Considering the Union’s interest to retain, in principle, relations with the countries associated to Horizon 2020, most third countries associated to Horizon 2020 are expected to be associated to Horizon Europe </w:t>
      </w:r>
      <w:r w:rsidR="00EA6830" w:rsidRPr="003569E8">
        <w:t>with an intention to secure uninterrupted continuity between Horizon 2020 and Horizon Europe.</w:t>
      </w:r>
      <w:r w:rsidRPr="003569E8">
        <w:t xml:space="preserve"> </w:t>
      </w:r>
      <w:r w:rsidR="00EA6830" w:rsidRPr="003569E8">
        <w:t>In addition, o</w:t>
      </w:r>
      <w:r w:rsidR="004278D4" w:rsidRPr="003569E8">
        <w:t xml:space="preserve">ther third countries can also become associated to Horizon Europe </w:t>
      </w:r>
      <w:r w:rsidR="00EA6830" w:rsidRPr="003569E8">
        <w:t>during the programme</w:t>
      </w:r>
      <w:r w:rsidR="004278D4" w:rsidRPr="003569E8">
        <w:t xml:space="preserve">. </w:t>
      </w:r>
      <w:r w:rsidRPr="003569E8">
        <w:t xml:space="preserve">For the purposes of the eligibility conditions, applicants established in Horizon 2020 Associated Countries </w:t>
      </w:r>
      <w:r w:rsidR="004278D4" w:rsidRPr="003569E8">
        <w:t xml:space="preserve">or in other third countries negotiating association to Horizon Europe </w:t>
      </w:r>
      <w:r w:rsidRPr="003569E8">
        <w:t>will be treated as entities established in an Associated Country,</w:t>
      </w:r>
      <w:r w:rsidR="004278D4" w:rsidRPr="003569E8">
        <w:t xml:space="preserve"> if the Hor</w:t>
      </w:r>
      <w:r w:rsidR="005F27D5" w:rsidRPr="003569E8">
        <w:t>izon Europe</w:t>
      </w:r>
      <w:r w:rsidRPr="003569E8">
        <w:t xml:space="preserve"> association agreement </w:t>
      </w:r>
      <w:r w:rsidR="004278D4" w:rsidRPr="003569E8">
        <w:t>with the third country concerned applies at the time of signature of the grant agreement</w:t>
      </w:r>
      <w:r w:rsidRPr="003569E8">
        <w:t>.</w:t>
      </w:r>
    </w:p>
    <w:p w14:paraId="288757D8" w14:textId="10D0AB73" w:rsidR="00C60BD6" w:rsidRPr="00A836B9" w:rsidDel="00254EB1" w:rsidRDefault="003D0469" w:rsidP="00C60BD6">
      <w:pPr>
        <w:numPr>
          <w:ilvl w:val="1"/>
          <w:numId w:val="21"/>
        </w:numPr>
      </w:pPr>
      <w:r w:rsidRPr="00A836B9">
        <w:t>l</w:t>
      </w:r>
      <w:r w:rsidR="00C60BD6" w:rsidRPr="00A836B9" w:rsidDel="00254EB1">
        <w:t>ow</w:t>
      </w:r>
      <w:r w:rsidRPr="00A836B9">
        <w:t>-</w:t>
      </w:r>
      <w:r w:rsidR="00C60BD6" w:rsidRPr="00A836B9" w:rsidDel="00254EB1">
        <w:t xml:space="preserve"> and middle</w:t>
      </w:r>
      <w:r w:rsidRPr="00A836B9">
        <w:t>-</w:t>
      </w:r>
      <w:r w:rsidR="00C60BD6" w:rsidRPr="00A836B9" w:rsidDel="00254EB1">
        <w:t>income countries</w:t>
      </w:r>
      <w:r w:rsidR="00C60BD6" w:rsidRPr="00A836B9">
        <w:rPr>
          <w:vertAlign w:val="superscript"/>
        </w:rPr>
        <w:footnoteReference w:id="11"/>
      </w:r>
      <w:r w:rsidRPr="00A836B9">
        <w:t>.</w:t>
      </w:r>
    </w:p>
    <w:p w14:paraId="6B41CCB6" w14:textId="304E1958" w:rsidR="00C60BD6" w:rsidRPr="00A836B9" w:rsidDel="006E06FB" w:rsidRDefault="00C60BD6" w:rsidP="00C60BD6">
      <w:r w:rsidRPr="00A836B9" w:rsidDel="006E06FB">
        <w:t xml:space="preserve">Legal entities which are established in countries not listed above will be eligible for funding </w:t>
      </w:r>
      <w:r w:rsidR="005C17BA" w:rsidRPr="00A836B9">
        <w:t xml:space="preserve">if </w:t>
      </w:r>
      <w:r w:rsidR="00DD2449" w:rsidRPr="00A836B9">
        <w:t>provided</w:t>
      </w:r>
      <w:r w:rsidR="00DD2449" w:rsidRPr="00A836B9" w:rsidDel="006E06FB">
        <w:t xml:space="preserve"> </w:t>
      </w:r>
      <w:r w:rsidR="00BB4752" w:rsidRPr="00A836B9">
        <w:t xml:space="preserve">for </w:t>
      </w:r>
      <w:r w:rsidRPr="00A836B9" w:rsidDel="006E06FB">
        <w:t xml:space="preserve">in the </w:t>
      </w:r>
      <w:r w:rsidRPr="00A836B9">
        <w:t>specific call conditions</w:t>
      </w:r>
      <w:r w:rsidRPr="00A836B9" w:rsidDel="006E06FB">
        <w:t xml:space="preserve">, or </w:t>
      </w:r>
      <w:r w:rsidR="005C17BA" w:rsidRPr="00A836B9">
        <w:t xml:space="preserve">if </w:t>
      </w:r>
      <w:r w:rsidRPr="00A836B9" w:rsidDel="006E06FB">
        <w:t xml:space="preserve">their participation is considered essential </w:t>
      </w:r>
      <w:r w:rsidRPr="00A836B9">
        <w:t>for</w:t>
      </w:r>
      <w:r w:rsidRPr="00A836B9" w:rsidDel="006E06FB">
        <w:t xml:space="preserve"> implement</w:t>
      </w:r>
      <w:r w:rsidRPr="00A836B9">
        <w:t>ing</w:t>
      </w:r>
      <w:r w:rsidRPr="00A836B9" w:rsidDel="006E06FB">
        <w:t xml:space="preserve"> the action</w:t>
      </w:r>
      <w:r w:rsidR="006F443C" w:rsidRPr="00A836B9">
        <w:t xml:space="preserve"> by the granting authority</w:t>
      </w:r>
      <w:r w:rsidRPr="00A836B9" w:rsidDel="006E06FB">
        <w:t>.</w:t>
      </w:r>
    </w:p>
    <w:p w14:paraId="56575AC0" w14:textId="77777777" w:rsidR="00C60BD6" w:rsidRPr="00A836B9" w:rsidRDefault="00C60BD6" w:rsidP="490E705E">
      <w:pPr>
        <w:rPr>
          <w:i/>
          <w:iCs/>
        </w:rPr>
      </w:pPr>
      <w:r w:rsidRPr="00A836B9">
        <w:rPr>
          <w:i/>
          <w:iCs/>
        </w:rPr>
        <w:t>Specific cases:</w:t>
      </w:r>
    </w:p>
    <w:p w14:paraId="704162AC" w14:textId="77777777" w:rsidR="00C60BD6" w:rsidRPr="00A836B9" w:rsidRDefault="00C60BD6" w:rsidP="00C60BD6">
      <w:r w:rsidRPr="00A836B9">
        <w:rPr>
          <w:b/>
          <w:bCs/>
        </w:rPr>
        <w:t>Affiliated entities</w:t>
      </w:r>
      <w:r w:rsidRPr="00A836B9">
        <w:t xml:space="preserve"> — Affiliated entities are eligible for funding if they are established in one of the countries listed above.</w:t>
      </w:r>
    </w:p>
    <w:p w14:paraId="1773420B" w14:textId="0BD7F2BB" w:rsidR="00C60BD6" w:rsidRPr="00A836B9" w:rsidRDefault="00C60BD6" w:rsidP="00C60BD6">
      <w:r w:rsidRPr="00A836B9">
        <w:rPr>
          <w:b/>
          <w:bCs/>
        </w:rPr>
        <w:t>EU bodies</w:t>
      </w:r>
      <w:r w:rsidRPr="00A836B9">
        <w:t xml:space="preserve"> — Legal entities created under </w:t>
      </w:r>
      <w:r w:rsidR="005C17BA" w:rsidRPr="00A836B9">
        <w:t>E</w:t>
      </w:r>
      <w:r w:rsidRPr="00A836B9">
        <w:t>U law may also be eligible to receive funding, unless their basic act</w:t>
      </w:r>
      <w:r w:rsidR="005C17BA" w:rsidRPr="00A836B9">
        <w:t xml:space="preserve"> states otherwise</w:t>
      </w:r>
      <w:r w:rsidRPr="00A836B9">
        <w:t xml:space="preserve">. </w:t>
      </w:r>
    </w:p>
    <w:p w14:paraId="3BB966A7" w14:textId="6E92D846" w:rsidR="00C60BD6" w:rsidRPr="00A836B9" w:rsidDel="00613B15" w:rsidRDefault="00C60BD6" w:rsidP="00C60BD6">
      <w:r w:rsidRPr="00A836B9" w:rsidDel="00613B15">
        <w:rPr>
          <w:b/>
          <w:bCs/>
        </w:rPr>
        <w:t>International organisations</w:t>
      </w:r>
      <w:r w:rsidRPr="00A836B9" w:rsidDel="00613B15">
        <w:t xml:space="preserve"> — International European research organisations are eligible to receive funding. </w:t>
      </w:r>
      <w:r w:rsidR="00AD5412" w:rsidRPr="00A836B9">
        <w:t>Unless their participation is considered essential for implementing the action by the granting authority, o</w:t>
      </w:r>
      <w:r w:rsidRPr="00A836B9" w:rsidDel="00613B15">
        <w:t>ther international organisations are not eligible to receive funding</w:t>
      </w:r>
      <w:r w:rsidR="005C619F" w:rsidRPr="00A836B9">
        <w:t>.</w:t>
      </w:r>
      <w:r w:rsidRPr="00A836B9" w:rsidDel="00613B15">
        <w:t xml:space="preserve"> </w:t>
      </w:r>
      <w:r w:rsidR="005C619F" w:rsidRPr="00A836B9">
        <w:t>I</w:t>
      </w:r>
      <w:r w:rsidR="00AD5412" w:rsidRPr="00A836B9">
        <w:t xml:space="preserve">nternational organisations with headquarters in a Member State or Associated Country are eligible to receive funding for </w:t>
      </w:r>
      <w:r w:rsidR="003D0469" w:rsidRPr="00A836B9">
        <w:t>‘</w:t>
      </w:r>
      <w:r w:rsidR="00AD5412" w:rsidRPr="00A836B9">
        <w:t>Training and mobility</w:t>
      </w:r>
      <w:r w:rsidR="003D0469" w:rsidRPr="00A836B9">
        <w:t>’</w:t>
      </w:r>
      <w:r w:rsidR="00AD5412" w:rsidRPr="00A836B9">
        <w:t xml:space="preserve"> actions and when </w:t>
      </w:r>
      <w:r w:rsidR="00BB4752" w:rsidRPr="00A836B9">
        <w:t>provided for</w:t>
      </w:r>
      <w:r w:rsidR="00BB4752" w:rsidRPr="00A836B9" w:rsidDel="00613B15">
        <w:t xml:space="preserve"> </w:t>
      </w:r>
      <w:r w:rsidRPr="00A836B9" w:rsidDel="00613B15">
        <w:t xml:space="preserve">in the </w:t>
      </w:r>
      <w:r w:rsidR="00BB4752" w:rsidRPr="00A836B9">
        <w:t>specific call conditions</w:t>
      </w:r>
      <w:r w:rsidRPr="00A836B9" w:rsidDel="00613B15">
        <w:t>.</w:t>
      </w:r>
    </w:p>
    <w:p w14:paraId="52A3F985" w14:textId="77777777" w:rsidR="00C60BD6" w:rsidRPr="00A836B9" w:rsidRDefault="00C60BD6" w:rsidP="490E705E">
      <w:pPr>
        <w:rPr>
          <w:b/>
          <w:bCs/>
          <w:i/>
          <w:iCs/>
          <w:u w:val="single"/>
        </w:rPr>
      </w:pPr>
      <w:r w:rsidRPr="00A836B9">
        <w:rPr>
          <w:b/>
          <w:bCs/>
          <w:i/>
          <w:iCs/>
          <w:u w:val="single"/>
        </w:rPr>
        <w:t xml:space="preserve">Consortium composition </w:t>
      </w:r>
    </w:p>
    <w:p w14:paraId="7B4F0937" w14:textId="4D669B60" w:rsidR="00646F45" w:rsidRPr="00A836B9" w:rsidRDefault="00646F45" w:rsidP="00C60BD6">
      <w:r w:rsidRPr="00A836B9">
        <w:t xml:space="preserve">Unless otherwise provided for in the specific call conditions, legal entities forming a consortium are eligible </w:t>
      </w:r>
      <w:r w:rsidR="005C17BA" w:rsidRPr="00A836B9">
        <w:t>to</w:t>
      </w:r>
      <w:r w:rsidRPr="00A836B9">
        <w:t xml:space="preserve"> participat</w:t>
      </w:r>
      <w:r w:rsidR="005C17BA" w:rsidRPr="00A836B9">
        <w:t>e</w:t>
      </w:r>
      <w:r w:rsidRPr="00A836B9">
        <w:t xml:space="preserve"> in actions provided that the consortium includes:</w:t>
      </w:r>
    </w:p>
    <w:p w14:paraId="4B37EA91" w14:textId="74639168" w:rsidR="00646F45" w:rsidRPr="00A836B9" w:rsidRDefault="00646F45" w:rsidP="00646F45">
      <w:pPr>
        <w:pStyle w:val="ListParagraph"/>
        <w:numPr>
          <w:ilvl w:val="0"/>
          <w:numId w:val="35"/>
        </w:numPr>
      </w:pPr>
      <w:r w:rsidRPr="00A836B9">
        <w:t>at least one independent legal entity established in a Member State</w:t>
      </w:r>
      <w:r w:rsidR="003D0469" w:rsidRPr="00A836B9">
        <w:t>;</w:t>
      </w:r>
      <w:r w:rsidRPr="00A836B9">
        <w:t xml:space="preserve"> and</w:t>
      </w:r>
    </w:p>
    <w:p w14:paraId="77A84FE2" w14:textId="09F55AE2" w:rsidR="00C60BD6" w:rsidRPr="00A836B9" w:rsidRDefault="00646F45" w:rsidP="00646F45">
      <w:pPr>
        <w:pStyle w:val="ListParagraph"/>
        <w:numPr>
          <w:ilvl w:val="0"/>
          <w:numId w:val="35"/>
        </w:numPr>
      </w:pPr>
      <w:r w:rsidRPr="00A836B9">
        <w:t>at least two other independent legal entities</w:t>
      </w:r>
      <w:r w:rsidR="003D0469" w:rsidRPr="00A836B9">
        <w:t>,</w:t>
      </w:r>
      <w:r w:rsidRPr="00A836B9">
        <w:t xml:space="preserve"> each established </w:t>
      </w:r>
      <w:r w:rsidR="0086116D" w:rsidRPr="00A836B9">
        <w:t xml:space="preserve">in </w:t>
      </w:r>
      <w:r w:rsidRPr="00A836B9">
        <w:t>different Member State</w:t>
      </w:r>
      <w:r w:rsidR="0086116D" w:rsidRPr="00A836B9">
        <w:t>s or Associated Countries</w:t>
      </w:r>
      <w:r w:rsidRPr="00A836B9">
        <w:t>.</w:t>
      </w:r>
    </w:p>
    <w:p w14:paraId="0F0D98E0" w14:textId="17C87D54" w:rsidR="00C60BD6" w:rsidRPr="00A836B9" w:rsidRDefault="00C60BD6" w:rsidP="00C60BD6">
      <w:r w:rsidRPr="00A836B9">
        <w:t xml:space="preserve">The JRC, international European research organisations and legal entities created under EU law are deemed to be established in a Member State other than </w:t>
      </w:r>
      <w:r w:rsidR="003D0469" w:rsidRPr="00A836B9">
        <w:t>those</w:t>
      </w:r>
      <w:r w:rsidRPr="00A836B9">
        <w:t xml:space="preserve"> in which the other legal entities participating in the action are established.</w:t>
      </w:r>
    </w:p>
    <w:p w14:paraId="17AE81F3" w14:textId="7F2C1043" w:rsidR="00C60BD6" w:rsidRPr="00A836B9" w:rsidRDefault="00C60BD6" w:rsidP="00C60BD6">
      <w:r w:rsidRPr="00A836B9">
        <w:t xml:space="preserve">Applications for </w:t>
      </w:r>
      <w:r w:rsidR="003D0469" w:rsidRPr="00A836B9">
        <w:t>‘</w:t>
      </w:r>
      <w:r w:rsidRPr="00A836B9">
        <w:t>Training and mobility</w:t>
      </w:r>
      <w:r w:rsidR="003D0469" w:rsidRPr="00A836B9">
        <w:t>’</w:t>
      </w:r>
      <w:r w:rsidRPr="00A836B9">
        <w:t xml:space="preserve"> actions and </w:t>
      </w:r>
      <w:r w:rsidR="00BB4752" w:rsidRPr="00A836B9">
        <w:t xml:space="preserve">for </w:t>
      </w:r>
      <w:r w:rsidR="003D0469" w:rsidRPr="00A836B9">
        <w:t>‘</w:t>
      </w:r>
      <w:r w:rsidRPr="00A836B9">
        <w:t>Programme co-fund</w:t>
      </w:r>
      <w:r w:rsidR="003D0469" w:rsidRPr="00A836B9">
        <w:t>’</w:t>
      </w:r>
      <w:r w:rsidRPr="00A836B9">
        <w:t xml:space="preserve"> actions</w:t>
      </w:r>
      <w:r w:rsidR="00BB4752" w:rsidRPr="00A836B9">
        <w:t xml:space="preserve"> may be submitted by one or more legal entities, </w:t>
      </w:r>
      <w:r w:rsidR="00646F45" w:rsidRPr="00A836B9">
        <w:t xml:space="preserve">provided that </w:t>
      </w:r>
      <w:r w:rsidR="00BB4752" w:rsidRPr="00A836B9">
        <w:t xml:space="preserve">one of </w:t>
      </w:r>
      <w:r w:rsidR="00646F45" w:rsidRPr="00A836B9">
        <w:t>those legal entities is</w:t>
      </w:r>
      <w:r w:rsidR="00BB4752" w:rsidRPr="00A836B9">
        <w:t xml:space="preserve"> established in a Member State or </w:t>
      </w:r>
      <w:r w:rsidR="00646F45" w:rsidRPr="00A836B9">
        <w:t xml:space="preserve">an </w:t>
      </w:r>
      <w:r w:rsidR="00BB4752" w:rsidRPr="00A836B9">
        <w:t>Associated Country</w:t>
      </w:r>
      <w:r w:rsidRPr="00A836B9">
        <w:t xml:space="preserve">. </w:t>
      </w:r>
    </w:p>
    <w:p w14:paraId="1CBC0013" w14:textId="017CC3EE" w:rsidR="00C60BD6" w:rsidRPr="00A836B9" w:rsidRDefault="00C60BD6" w:rsidP="00C60BD6">
      <w:r w:rsidRPr="00A836B9">
        <w:t xml:space="preserve">Applications for </w:t>
      </w:r>
      <w:r w:rsidR="003D0469" w:rsidRPr="00A836B9">
        <w:t>‘</w:t>
      </w:r>
      <w:r w:rsidRPr="00A836B9">
        <w:t>Coordination and support</w:t>
      </w:r>
      <w:r w:rsidR="003D0469" w:rsidRPr="00A836B9">
        <w:t>’</w:t>
      </w:r>
      <w:r w:rsidRPr="00A836B9">
        <w:t xml:space="preserve"> actions may </w:t>
      </w:r>
      <w:r w:rsidR="00BB4752" w:rsidRPr="00A836B9">
        <w:t>be submitted by one or more legal entities, which may be established in a Member State, Associated Country or</w:t>
      </w:r>
      <w:r w:rsidR="005C17BA" w:rsidRPr="00A836B9">
        <w:t>,</w:t>
      </w:r>
      <w:r w:rsidR="00BB4752" w:rsidRPr="00A836B9">
        <w:t xml:space="preserve"> in exceptional cases and if provided for in the specific call conditions, in another third country</w:t>
      </w:r>
      <w:r w:rsidRPr="00A836B9">
        <w:t>.</w:t>
      </w:r>
    </w:p>
    <w:p w14:paraId="735BA69A" w14:textId="2A752EB8" w:rsidR="00C60BD6" w:rsidRPr="00A836B9" w:rsidRDefault="00C60BD6" w:rsidP="00C60BD6">
      <w:r w:rsidRPr="00A836B9">
        <w:t xml:space="preserve">Applications for </w:t>
      </w:r>
      <w:r w:rsidR="003D0469" w:rsidRPr="00A836B9">
        <w:t>‘</w:t>
      </w:r>
      <w:r w:rsidRPr="00A836B9">
        <w:t>Pre-commercial procurement</w:t>
      </w:r>
      <w:r w:rsidR="003D0469" w:rsidRPr="00A836B9">
        <w:t>’</w:t>
      </w:r>
      <w:r w:rsidR="008C170F" w:rsidRPr="00A836B9">
        <w:t xml:space="preserve"> </w:t>
      </w:r>
      <w:r w:rsidRPr="00A836B9">
        <w:t xml:space="preserve">actions and </w:t>
      </w:r>
      <w:r w:rsidR="003D0469" w:rsidRPr="00A836B9">
        <w:t>‘</w:t>
      </w:r>
      <w:r w:rsidRPr="00A836B9">
        <w:t>Public procurement of innovative solutions</w:t>
      </w:r>
      <w:r w:rsidR="003D0469" w:rsidRPr="00A836B9">
        <w:t>’</w:t>
      </w:r>
      <w:r w:rsidR="008C170F" w:rsidRPr="00A836B9">
        <w:t xml:space="preserve"> </w:t>
      </w:r>
      <w:r w:rsidRPr="00A836B9">
        <w:t>actions must include as beneficiaries a ‘buyers’ group’</w:t>
      </w:r>
      <w:r w:rsidR="003D0469" w:rsidRPr="00A836B9">
        <w:t>. This group</w:t>
      </w:r>
      <w:r w:rsidRPr="00A836B9">
        <w:t xml:space="preserve"> </w:t>
      </w:r>
      <w:r w:rsidR="003D0469" w:rsidRPr="00A836B9">
        <w:t xml:space="preserve">must </w:t>
      </w:r>
      <w:r w:rsidRPr="00A836B9">
        <w:t>consist of a minimum of two independent legal entities that are public procurers</w:t>
      </w:r>
      <w:r w:rsidRPr="00A836B9">
        <w:rPr>
          <w:vertAlign w:val="superscript"/>
        </w:rPr>
        <w:footnoteReference w:id="12"/>
      </w:r>
      <w:r w:rsidRPr="00A836B9">
        <w:t xml:space="preserve">, each established in a different Member State or Associated Country and with at least one of them established in a Member State. </w:t>
      </w:r>
    </w:p>
    <w:p w14:paraId="1E1349A6" w14:textId="77777777" w:rsidR="00C60BD6" w:rsidRPr="00A836B9" w:rsidRDefault="00C60BD6" w:rsidP="490E705E">
      <w:pPr>
        <w:rPr>
          <w:b/>
          <w:bCs/>
          <w:i/>
          <w:iCs/>
          <w:u w:val="single"/>
        </w:rPr>
      </w:pPr>
      <w:r w:rsidRPr="00A836B9">
        <w:rPr>
          <w:b/>
          <w:bCs/>
          <w:i/>
          <w:iCs/>
          <w:u w:val="single"/>
        </w:rPr>
        <w:t>Eligible activities</w:t>
      </w:r>
    </w:p>
    <w:p w14:paraId="64FD27C4" w14:textId="39B72167" w:rsidR="00C60BD6" w:rsidRPr="00A836B9" w:rsidRDefault="00C60BD6" w:rsidP="00C60BD6">
      <w:r w:rsidRPr="00A836B9">
        <w:t>Eligible activities are the ones described in the call conditions.</w:t>
      </w:r>
    </w:p>
    <w:p w14:paraId="09337F52" w14:textId="0165312A" w:rsidR="00D07181" w:rsidRPr="00A836B9" w:rsidRDefault="007F5143" w:rsidP="490E705E">
      <w:r w:rsidRPr="00A836B9">
        <w:t>Project</w:t>
      </w:r>
      <w:r w:rsidR="00D07181" w:rsidRPr="00A836B9">
        <w:t>s</w:t>
      </w:r>
      <w:r w:rsidRPr="00A836B9">
        <w:t xml:space="preserve"> must </w:t>
      </w:r>
      <w:r w:rsidR="00D07181" w:rsidRPr="00A836B9">
        <w:t>focus</w:t>
      </w:r>
      <w:r w:rsidR="00924847" w:rsidRPr="00A836B9">
        <w:t xml:space="preserve"> exclusive</w:t>
      </w:r>
      <w:r w:rsidR="00D07181" w:rsidRPr="00A836B9">
        <w:t>ly</w:t>
      </w:r>
      <w:r w:rsidRPr="00A836B9">
        <w:t xml:space="preserve"> on civil applications and </w:t>
      </w:r>
      <w:r w:rsidR="00D07181" w:rsidRPr="00A836B9">
        <w:t>must</w:t>
      </w:r>
      <w:r w:rsidRPr="00A836B9">
        <w:t xml:space="preserve"> not</w:t>
      </w:r>
      <w:r w:rsidR="00D07181" w:rsidRPr="00A836B9">
        <w:t>:</w:t>
      </w:r>
      <w:r w:rsidRPr="00A836B9">
        <w:t xml:space="preserve"> </w:t>
      </w:r>
    </w:p>
    <w:p w14:paraId="1FBDDF9E" w14:textId="221BD208" w:rsidR="00D07181" w:rsidRPr="00A836B9" w:rsidRDefault="007F5143" w:rsidP="00D07181">
      <w:pPr>
        <w:pStyle w:val="ListParagraph"/>
        <w:numPr>
          <w:ilvl w:val="0"/>
          <w:numId w:val="37"/>
        </w:numPr>
      </w:pPr>
      <w:r w:rsidRPr="00A836B9">
        <w:t>aim at human cloning for reproductive purposes</w:t>
      </w:r>
      <w:r w:rsidR="00D07181" w:rsidRPr="00A836B9">
        <w:t>;</w:t>
      </w:r>
      <w:r w:rsidRPr="00A836B9">
        <w:t xml:space="preserve"> </w:t>
      </w:r>
    </w:p>
    <w:p w14:paraId="224C3466" w14:textId="7F7019CC" w:rsidR="00D07181" w:rsidRPr="00A836B9" w:rsidRDefault="007F5143" w:rsidP="00D07181">
      <w:pPr>
        <w:pStyle w:val="ListParagraph"/>
        <w:numPr>
          <w:ilvl w:val="0"/>
          <w:numId w:val="37"/>
        </w:numPr>
      </w:pPr>
      <w:r w:rsidRPr="00A836B9">
        <w:t xml:space="preserve">intend to modify the genetic heritage of human beings which could make such changes heritable (except </w:t>
      </w:r>
      <w:r w:rsidR="003D0469" w:rsidRPr="00A836B9">
        <w:t xml:space="preserve">for </w:t>
      </w:r>
      <w:r w:rsidRPr="00A836B9">
        <w:t>research relating to cancer treatment of the gonads, which may be financed)</w:t>
      </w:r>
      <w:r w:rsidR="003D0469" w:rsidRPr="00A836B9">
        <w:t>;</w:t>
      </w:r>
    </w:p>
    <w:p w14:paraId="3E6DA01D" w14:textId="0A9AA375" w:rsidR="007F5143" w:rsidRPr="00A836B9" w:rsidRDefault="007F5143" w:rsidP="00D07181">
      <w:pPr>
        <w:pStyle w:val="ListParagraph"/>
        <w:numPr>
          <w:ilvl w:val="0"/>
          <w:numId w:val="37"/>
        </w:numPr>
      </w:pPr>
      <w:r w:rsidRPr="00A836B9">
        <w:t>intend to create human embryos solely for the purpose of research</w:t>
      </w:r>
      <w:r w:rsidR="003D0469" w:rsidRPr="00A836B9">
        <w:t>,</w:t>
      </w:r>
      <w:r w:rsidRPr="00A836B9">
        <w:t xml:space="preserve"> or for the purpose of stem cell procurement, including by means of somatic cell nuclear transfer.</w:t>
      </w:r>
    </w:p>
    <w:p w14:paraId="5EEB6876" w14:textId="697D706E" w:rsidR="00C60BD6" w:rsidRPr="00A836B9" w:rsidRDefault="00C60BD6" w:rsidP="00C60BD6">
      <w:r w:rsidRPr="00A836B9">
        <w:t>Projects must</w:t>
      </w:r>
      <w:r w:rsidR="00085A80" w:rsidRPr="00A836B9">
        <w:t>,</w:t>
      </w:r>
      <w:r w:rsidRPr="00A836B9">
        <w:t xml:space="preserve"> moreover</w:t>
      </w:r>
      <w:r w:rsidR="00085A80" w:rsidRPr="00A836B9">
        <w:t>,</w:t>
      </w:r>
      <w:r w:rsidRPr="00A836B9">
        <w:t xml:space="preserve"> comply with EU policy interests and priorities </w:t>
      </w:r>
      <w:r w:rsidRPr="00A836B9">
        <w:rPr>
          <w:iCs/>
        </w:rPr>
        <w:t>(environment, social, security, industrial policy, etc.)</w:t>
      </w:r>
      <w:r w:rsidRPr="00A836B9">
        <w:rPr>
          <w:i/>
          <w:iCs/>
        </w:rPr>
        <w:t>.</w:t>
      </w:r>
    </w:p>
    <w:p w14:paraId="0813640B" w14:textId="522212AA" w:rsidR="00C60BD6" w:rsidRPr="00A836B9" w:rsidRDefault="00C60BD6" w:rsidP="00C60BD6">
      <w:r w:rsidRPr="00A836B9">
        <w:t xml:space="preserve">The following activities are generally eligible </w:t>
      </w:r>
      <w:r w:rsidR="00D07181" w:rsidRPr="00A836B9">
        <w:t xml:space="preserve">for grants </w:t>
      </w:r>
      <w:r w:rsidRPr="00A836B9">
        <w:t>under Horizon Europe:</w:t>
      </w:r>
    </w:p>
    <w:p w14:paraId="6AF1A00F" w14:textId="3C859012" w:rsidR="00C60BD6" w:rsidRPr="00A836B9" w:rsidRDefault="00C60BD6" w:rsidP="00C60BD6">
      <w:r w:rsidRPr="00A836B9">
        <w:rPr>
          <w:b/>
          <w:bCs/>
          <w:i/>
          <w:iCs/>
        </w:rPr>
        <w:t>Research and innovation actions (RIA)</w:t>
      </w:r>
      <w:r w:rsidRPr="00A836B9">
        <w:rPr>
          <w:i/>
          <w:iCs/>
        </w:rPr>
        <w:t xml:space="preserve"> </w:t>
      </w:r>
      <w:r w:rsidRPr="00A836B9">
        <w:t xml:space="preserve">— Activities </w:t>
      </w:r>
      <w:r w:rsidR="00D07181" w:rsidRPr="00A836B9">
        <w:t xml:space="preserve">that </w:t>
      </w:r>
      <w:r w:rsidRPr="00A836B9">
        <w:t xml:space="preserve">aim primarily to establish new knowledge or to explore the feasibility of a new or improved technology, product, process, service or solution. This may include basic and applied research, technology development and integration, testing, demonstration and validation </w:t>
      </w:r>
      <w:r w:rsidR="00D07181" w:rsidRPr="00A836B9">
        <w:t>of</w:t>
      </w:r>
      <w:r w:rsidRPr="00A836B9">
        <w:t xml:space="preserve"> a small-scale prototype in a laboratory or simulated environment.</w:t>
      </w:r>
    </w:p>
    <w:p w14:paraId="529643C7" w14:textId="60FEEA0A" w:rsidR="00C60BD6" w:rsidRPr="00A836B9" w:rsidRDefault="00C60BD6" w:rsidP="00C60BD6">
      <w:r w:rsidRPr="00A836B9">
        <w:rPr>
          <w:b/>
          <w:bCs/>
          <w:i/>
          <w:iCs/>
        </w:rPr>
        <w:t>Innovation actions (IA)</w:t>
      </w:r>
      <w:r w:rsidRPr="00A836B9">
        <w:rPr>
          <w:i/>
          <w:iCs/>
        </w:rPr>
        <w:t xml:space="preserve"> </w:t>
      </w:r>
      <w:r w:rsidRPr="00A836B9">
        <w:t>—</w:t>
      </w:r>
      <w:r w:rsidRPr="00A836B9">
        <w:rPr>
          <w:i/>
          <w:iCs/>
        </w:rPr>
        <w:t xml:space="preserve"> </w:t>
      </w:r>
      <w:r w:rsidRPr="00A836B9">
        <w:t xml:space="preserve">Activities </w:t>
      </w:r>
      <w:r w:rsidR="00D07181" w:rsidRPr="00A836B9">
        <w:t xml:space="preserve">that aim </w:t>
      </w:r>
      <w:r w:rsidRPr="00A836B9">
        <w:t xml:space="preserve">directly </w:t>
      </w:r>
      <w:r w:rsidR="00D07181" w:rsidRPr="00A836B9">
        <w:t>to</w:t>
      </w:r>
      <w:r w:rsidRPr="00A836B9">
        <w:t xml:space="preserve"> produc</w:t>
      </w:r>
      <w:r w:rsidR="00D07181" w:rsidRPr="00A836B9">
        <w:t>e</w:t>
      </w:r>
      <w:r w:rsidRPr="00A836B9">
        <w:t xml:space="preserve"> plans and arrangements or designs for new, altered or improved products, processes or services</w:t>
      </w:r>
      <w:r w:rsidR="00D07181" w:rsidRPr="00A836B9">
        <w:t>. These activities may</w:t>
      </w:r>
      <w:r w:rsidRPr="00A836B9">
        <w:t xml:space="preserve"> includ</w:t>
      </w:r>
      <w:r w:rsidR="00D07181" w:rsidRPr="00A836B9">
        <w:t>e</w:t>
      </w:r>
      <w:r w:rsidRPr="00A836B9">
        <w:t xml:space="preserve"> prototyping, testing, demonstrating, piloting, large-scale product validation and market replication.</w:t>
      </w:r>
    </w:p>
    <w:p w14:paraId="69B30B86" w14:textId="0CAB1ABB" w:rsidR="00C60BD6" w:rsidRPr="00A836B9" w:rsidRDefault="00C60BD6" w:rsidP="00C60BD6">
      <w:r w:rsidRPr="00A836B9">
        <w:rPr>
          <w:b/>
          <w:bCs/>
          <w:i/>
          <w:iCs/>
        </w:rPr>
        <w:t>Coordination and support actions (CSA)</w:t>
      </w:r>
      <w:r w:rsidRPr="00A836B9">
        <w:rPr>
          <w:i/>
          <w:iCs/>
        </w:rPr>
        <w:t xml:space="preserve"> </w:t>
      </w:r>
      <w:r w:rsidRPr="00A836B9">
        <w:t>—</w:t>
      </w:r>
      <w:r w:rsidRPr="00A836B9">
        <w:rPr>
          <w:i/>
          <w:iCs/>
        </w:rPr>
        <w:t xml:space="preserve"> </w:t>
      </w:r>
      <w:r w:rsidRPr="00A836B9">
        <w:t xml:space="preserve">Activities </w:t>
      </w:r>
      <w:r w:rsidR="00D07181" w:rsidRPr="00A836B9">
        <w:t xml:space="preserve">that </w:t>
      </w:r>
      <w:r w:rsidRPr="00A836B9">
        <w:t>contribut</w:t>
      </w:r>
      <w:r w:rsidR="00D07181" w:rsidRPr="00A836B9">
        <w:t>e</w:t>
      </w:r>
      <w:r w:rsidRPr="00A836B9">
        <w:t xml:space="preserve"> to the objectives of Horizon Europe</w:t>
      </w:r>
      <w:r w:rsidR="00291BD6" w:rsidRPr="00A836B9">
        <w:t>. This</w:t>
      </w:r>
      <w:r w:rsidRPr="00A836B9">
        <w:t xml:space="preserve"> exclud</w:t>
      </w:r>
      <w:r w:rsidR="00291BD6" w:rsidRPr="00A836B9">
        <w:t>es</w:t>
      </w:r>
      <w:r w:rsidRPr="00A836B9">
        <w:t xml:space="preserve"> </w:t>
      </w:r>
      <w:r w:rsidR="009350D4" w:rsidRPr="00A836B9">
        <w:t>R&amp;I</w:t>
      </w:r>
      <w:r w:rsidRPr="00A836B9">
        <w:t xml:space="preserve"> activities</w:t>
      </w:r>
      <w:r w:rsidR="00291BD6" w:rsidRPr="00A836B9">
        <w:t>,</w:t>
      </w:r>
      <w:r w:rsidRPr="00A836B9">
        <w:t xml:space="preserve"> except </w:t>
      </w:r>
      <w:r w:rsidR="00291BD6" w:rsidRPr="00A836B9">
        <w:t>those</w:t>
      </w:r>
      <w:r w:rsidRPr="00A836B9">
        <w:t xml:space="preserve"> </w:t>
      </w:r>
      <w:r w:rsidR="00291BD6" w:rsidRPr="00A836B9">
        <w:t xml:space="preserve">carried out </w:t>
      </w:r>
      <w:r w:rsidRPr="00A836B9">
        <w:t xml:space="preserve">under the </w:t>
      </w:r>
      <w:r w:rsidR="00085A80" w:rsidRPr="00A836B9">
        <w:t>‘</w:t>
      </w:r>
      <w:r w:rsidRPr="00A836B9">
        <w:t>Widening participation and spreading excellence</w:t>
      </w:r>
      <w:r w:rsidR="00085A80" w:rsidRPr="00A836B9">
        <w:t>’</w:t>
      </w:r>
      <w:r w:rsidRPr="00A836B9">
        <w:t xml:space="preserve"> </w:t>
      </w:r>
      <w:r w:rsidR="00085A80" w:rsidRPr="00A836B9">
        <w:t xml:space="preserve">component </w:t>
      </w:r>
      <w:r w:rsidRPr="00A836B9">
        <w:t xml:space="preserve">of </w:t>
      </w:r>
      <w:r w:rsidR="00085A80" w:rsidRPr="00A836B9">
        <w:t xml:space="preserve">the programme </w:t>
      </w:r>
      <w:r w:rsidR="00291BD6" w:rsidRPr="00A836B9">
        <w:t>(part of</w:t>
      </w:r>
      <w:r w:rsidR="00085A80" w:rsidRPr="00A836B9">
        <w:t xml:space="preserve"> ‘</w:t>
      </w:r>
      <w:r w:rsidRPr="00A836B9">
        <w:t>Widening participation and strengthening the European Research Area</w:t>
      </w:r>
      <w:r w:rsidR="00085A80" w:rsidRPr="00A836B9">
        <w:t>’</w:t>
      </w:r>
      <w:r w:rsidR="00291BD6" w:rsidRPr="00A836B9">
        <w:t>).</w:t>
      </w:r>
      <w:r w:rsidRPr="00A836B9">
        <w:t xml:space="preserve"> </w:t>
      </w:r>
      <w:r w:rsidR="00291BD6" w:rsidRPr="00A836B9">
        <w:t xml:space="preserve">Also eligible are </w:t>
      </w:r>
      <w:r w:rsidRPr="00A836B9">
        <w:t xml:space="preserve">bottom-up coordination </w:t>
      </w:r>
      <w:r w:rsidR="00291BD6" w:rsidRPr="00A836B9">
        <w:t xml:space="preserve">actions </w:t>
      </w:r>
      <w:r w:rsidR="00922A85" w:rsidRPr="00A836B9">
        <w:t>which</w:t>
      </w:r>
      <w:r w:rsidR="00291BD6" w:rsidRPr="00A836B9">
        <w:t xml:space="preserve"> promote cooperation between legal entities from Member States and Associated Countries to strengthen the European Research Area, and which receive</w:t>
      </w:r>
      <w:r w:rsidRPr="00A836B9">
        <w:t xml:space="preserve"> </w:t>
      </w:r>
      <w:r w:rsidR="00291BD6" w:rsidRPr="00A836B9">
        <w:t xml:space="preserve">no EU </w:t>
      </w:r>
      <w:r w:rsidRPr="00A836B9">
        <w:t xml:space="preserve">co-funding </w:t>
      </w:r>
      <w:r w:rsidR="00291BD6" w:rsidRPr="00A836B9">
        <w:t>for</w:t>
      </w:r>
      <w:r w:rsidRPr="00A836B9">
        <w:t xml:space="preserve"> research activities.</w:t>
      </w:r>
    </w:p>
    <w:p w14:paraId="14CDF28B" w14:textId="790040E6" w:rsidR="00C60BD6" w:rsidRPr="00A836B9" w:rsidRDefault="00C60BD6" w:rsidP="00C60BD6">
      <w:r w:rsidRPr="00A836B9">
        <w:rPr>
          <w:b/>
          <w:bCs/>
          <w:i/>
          <w:iCs/>
        </w:rPr>
        <w:t>Programme co-fund actions (CoFund)</w:t>
      </w:r>
      <w:r w:rsidRPr="00A836B9">
        <w:rPr>
          <w:i/>
          <w:iCs/>
        </w:rPr>
        <w:t xml:space="preserve"> </w:t>
      </w:r>
      <w:r w:rsidRPr="00A836B9">
        <w:t xml:space="preserve">— A programme of activities established or implemented by </w:t>
      </w:r>
      <w:r w:rsidR="009350D4" w:rsidRPr="00A836B9">
        <w:t xml:space="preserve">legal </w:t>
      </w:r>
      <w:r w:rsidRPr="00A836B9">
        <w:t xml:space="preserve">entities managing or funding </w:t>
      </w:r>
      <w:r w:rsidR="009350D4" w:rsidRPr="00A836B9">
        <w:t>R&amp;I</w:t>
      </w:r>
      <w:r w:rsidRPr="00A836B9">
        <w:t xml:space="preserve"> programmes, other than </w:t>
      </w:r>
      <w:r w:rsidR="00085A80" w:rsidRPr="00A836B9">
        <w:t>E</w:t>
      </w:r>
      <w:r w:rsidR="009350D4" w:rsidRPr="00A836B9">
        <w:t xml:space="preserve">U </w:t>
      </w:r>
      <w:r w:rsidRPr="00A836B9">
        <w:t xml:space="preserve">funding bodies. </w:t>
      </w:r>
      <w:r w:rsidR="009350D4" w:rsidRPr="00A836B9">
        <w:t xml:space="preserve">Such a </w:t>
      </w:r>
      <w:r w:rsidRPr="00A836B9">
        <w:t>programme of activities may support</w:t>
      </w:r>
      <w:r w:rsidR="00E570E7" w:rsidRPr="00A836B9">
        <w:t>:</w:t>
      </w:r>
      <w:r w:rsidRPr="00A836B9">
        <w:t xml:space="preserve"> networking and coordination</w:t>
      </w:r>
      <w:r w:rsidR="00E570E7" w:rsidRPr="00A836B9">
        <w:t>;</w:t>
      </w:r>
      <w:r w:rsidRPr="00A836B9">
        <w:t xml:space="preserve"> research</w:t>
      </w:r>
      <w:r w:rsidR="00E570E7" w:rsidRPr="00A836B9">
        <w:t>;</w:t>
      </w:r>
      <w:r w:rsidRPr="00A836B9">
        <w:t xml:space="preserve"> innovation</w:t>
      </w:r>
      <w:r w:rsidR="00E570E7" w:rsidRPr="00A836B9">
        <w:t>;</w:t>
      </w:r>
      <w:r w:rsidRPr="00A836B9">
        <w:t xml:space="preserve"> pilot actions</w:t>
      </w:r>
      <w:r w:rsidR="00E570E7" w:rsidRPr="00A836B9">
        <w:t>;</w:t>
      </w:r>
      <w:r w:rsidRPr="00A836B9">
        <w:t xml:space="preserve"> innovation and market deployment</w:t>
      </w:r>
      <w:r w:rsidR="00E570E7" w:rsidRPr="00A836B9">
        <w:t>;</w:t>
      </w:r>
      <w:r w:rsidRPr="00A836B9">
        <w:t xml:space="preserve"> training and mobility</w:t>
      </w:r>
      <w:r w:rsidR="00E570E7" w:rsidRPr="00A836B9">
        <w:t>;</w:t>
      </w:r>
      <w:r w:rsidRPr="00A836B9">
        <w:t xml:space="preserve"> awareness raising and communication</w:t>
      </w:r>
      <w:r w:rsidR="00E570E7" w:rsidRPr="00A836B9">
        <w:t>;</w:t>
      </w:r>
      <w:r w:rsidRPr="00A836B9">
        <w:t xml:space="preserve"> </w:t>
      </w:r>
      <w:r w:rsidR="00E570E7" w:rsidRPr="00A836B9">
        <w:t xml:space="preserve">and </w:t>
      </w:r>
      <w:r w:rsidRPr="00A836B9">
        <w:t>dissemination and exploitation</w:t>
      </w:r>
      <w:r w:rsidR="00E570E7" w:rsidRPr="00A836B9">
        <w:t>. It may also</w:t>
      </w:r>
      <w:r w:rsidR="009350D4" w:rsidRPr="00A836B9">
        <w:t xml:space="preserve"> provide </w:t>
      </w:r>
      <w:r w:rsidRPr="00A836B9">
        <w:t>any relevant financial support, such as grants, prizes</w:t>
      </w:r>
      <w:r w:rsidR="00E570E7" w:rsidRPr="00A836B9">
        <w:t xml:space="preserve"> and</w:t>
      </w:r>
      <w:r w:rsidRPr="00A836B9">
        <w:t xml:space="preserve"> procurement, as well as Horizon Europe blended finance</w:t>
      </w:r>
      <w:r w:rsidRPr="00A836B9">
        <w:rPr>
          <w:vertAlign w:val="superscript"/>
        </w:rPr>
        <w:footnoteReference w:id="13"/>
      </w:r>
      <w:r w:rsidRPr="00A836B9">
        <w:t xml:space="preserve"> or a combination thereof. The action</w:t>
      </w:r>
      <w:r w:rsidR="00F92BF7">
        <w:t>s</w:t>
      </w:r>
      <w:r w:rsidRPr="00A836B9">
        <w:t xml:space="preserve"> may be implemented by the beneficiaries directly or by providing financial support to third parties.</w:t>
      </w:r>
    </w:p>
    <w:p w14:paraId="3BDE7053" w14:textId="75F8379B" w:rsidR="00C60BD6" w:rsidRPr="00A836B9" w:rsidRDefault="00C60BD6" w:rsidP="00C60BD6">
      <w:pPr>
        <w:autoSpaceDE w:val="0"/>
        <w:autoSpaceDN w:val="0"/>
        <w:adjustRightInd w:val="0"/>
      </w:pPr>
      <w:r w:rsidRPr="00A836B9">
        <w:rPr>
          <w:b/>
          <w:bCs/>
          <w:i/>
          <w:iCs/>
        </w:rPr>
        <w:t xml:space="preserve">Innovation and market deployment actions (IMDA) </w:t>
      </w:r>
      <w:r w:rsidRPr="00A836B9">
        <w:t xml:space="preserve">— Activities </w:t>
      </w:r>
      <w:r w:rsidR="006369EA" w:rsidRPr="00A836B9">
        <w:t xml:space="preserve">that </w:t>
      </w:r>
      <w:r w:rsidRPr="00A836B9">
        <w:t xml:space="preserve">embed an innovation action and other activities necessary to deploy an innovation </w:t>
      </w:r>
      <w:r w:rsidR="00E570E7" w:rsidRPr="00A836B9">
        <w:t>o</w:t>
      </w:r>
      <w:r w:rsidRPr="00A836B9">
        <w:t>n the market</w:t>
      </w:r>
      <w:r w:rsidR="00E570E7" w:rsidRPr="00A836B9">
        <w:t>. This</w:t>
      </w:r>
      <w:r w:rsidRPr="00A836B9">
        <w:t xml:space="preserve"> includ</w:t>
      </w:r>
      <w:r w:rsidR="00E570E7" w:rsidRPr="00A836B9">
        <w:t>es</w:t>
      </w:r>
      <w:r w:rsidRPr="00A836B9">
        <w:t xml:space="preserve"> the scaling-up of companies and Horizon Europe blended finance.</w:t>
      </w:r>
    </w:p>
    <w:p w14:paraId="5F87F1F9" w14:textId="104E6A3B" w:rsidR="00C60BD6" w:rsidRPr="00A836B9" w:rsidRDefault="00C60BD6" w:rsidP="00C60BD6">
      <w:pPr>
        <w:autoSpaceDE w:val="0"/>
        <w:autoSpaceDN w:val="0"/>
        <w:adjustRightInd w:val="0"/>
      </w:pPr>
      <w:r w:rsidRPr="00A836B9">
        <w:rPr>
          <w:b/>
          <w:bCs/>
          <w:i/>
          <w:iCs/>
        </w:rPr>
        <w:t>Training and mobility actions (TMA)</w:t>
      </w:r>
      <w:r w:rsidRPr="00A836B9">
        <w:t xml:space="preserve"> — Activities </w:t>
      </w:r>
      <w:r w:rsidR="00E570E7" w:rsidRPr="00A836B9">
        <w:t xml:space="preserve">that </w:t>
      </w:r>
      <w:r w:rsidR="00F73BF6" w:rsidRPr="00A836B9">
        <w:t>aim to</w:t>
      </w:r>
      <w:r w:rsidRPr="00A836B9">
        <w:t xml:space="preserve"> improve </w:t>
      </w:r>
      <w:r w:rsidR="009350D4" w:rsidRPr="00A836B9">
        <w:t xml:space="preserve">the </w:t>
      </w:r>
      <w:r w:rsidRPr="00A836B9">
        <w:t>skills, knowledge and career prospects of researchers</w:t>
      </w:r>
      <w:r w:rsidR="00E570E7" w:rsidRPr="00A836B9">
        <w:t>,</w:t>
      </w:r>
      <w:r w:rsidRPr="00A836B9">
        <w:t xml:space="preserve"> based on mobility between countries and, if relevant, between sectors or disciplines.</w:t>
      </w:r>
    </w:p>
    <w:p w14:paraId="7D5AC4C8" w14:textId="5C4E2A83" w:rsidR="00C60BD6" w:rsidRPr="00A836B9" w:rsidRDefault="00C60BD6" w:rsidP="00C60BD6">
      <w:r w:rsidRPr="00A836B9">
        <w:rPr>
          <w:b/>
          <w:bCs/>
          <w:i/>
          <w:iCs/>
        </w:rPr>
        <w:t>Pre-commercial procurement actions (PCP)</w:t>
      </w:r>
      <w:r w:rsidRPr="00A836B9">
        <w:t xml:space="preserve"> — Activities </w:t>
      </w:r>
      <w:r w:rsidR="00E570E7" w:rsidRPr="00A836B9">
        <w:t xml:space="preserve">that </w:t>
      </w:r>
      <w:r w:rsidR="00F73BF6" w:rsidRPr="00A836B9">
        <w:t xml:space="preserve">aim to </w:t>
      </w:r>
      <w:r w:rsidR="00570043" w:rsidRPr="00A836B9">
        <w:t>help</w:t>
      </w:r>
      <w:r w:rsidRPr="00A836B9">
        <w:t xml:space="preserve"> a transnational buyers’ group to </w:t>
      </w:r>
      <w:r w:rsidR="00570043" w:rsidRPr="00A836B9">
        <w:t>strengthen</w:t>
      </w:r>
      <w:r w:rsidRPr="00A836B9">
        <w:t xml:space="preserve"> the public procurement of research, development, validation and</w:t>
      </w:r>
      <w:r w:rsidR="00585C2B" w:rsidRPr="00A836B9">
        <w:t>,</w:t>
      </w:r>
      <w:r w:rsidRPr="00A836B9">
        <w:t xml:space="preserve"> possibly</w:t>
      </w:r>
      <w:r w:rsidR="00585C2B" w:rsidRPr="00A836B9">
        <w:t>,</w:t>
      </w:r>
      <w:r w:rsidRPr="00A836B9">
        <w:t xml:space="preserve"> the first deployment of new solutions that can significant</w:t>
      </w:r>
      <w:r w:rsidR="00585C2B" w:rsidRPr="00A836B9">
        <w:t>ly improve</w:t>
      </w:r>
      <w:r w:rsidRPr="00A836B9">
        <w:t xml:space="preserve"> quality and efficiency in areas of public interest, whil</w:t>
      </w:r>
      <w:r w:rsidR="00585C2B" w:rsidRPr="00A836B9">
        <w:t>e</w:t>
      </w:r>
      <w:r w:rsidRPr="00A836B9">
        <w:t xml:space="preserve"> opening market opportunities for industry and researchers active in Europe. Eligible activities include the preparation, management and follow-up, under the coordination of a lead procurer, of one joint PCP and additional activities to embed the PCP into a wider set of demand-side activities.</w:t>
      </w:r>
    </w:p>
    <w:p w14:paraId="1E3C1901" w14:textId="36AA8412" w:rsidR="00C60BD6" w:rsidRPr="00A836B9" w:rsidRDefault="00C60BD6" w:rsidP="00C60BD6">
      <w:r w:rsidRPr="00A836B9">
        <w:rPr>
          <w:b/>
          <w:bCs/>
          <w:i/>
          <w:iCs/>
        </w:rPr>
        <w:t>Public procurement of innovative solutions actions (PPI)</w:t>
      </w:r>
      <w:r w:rsidRPr="00A836B9">
        <w:t xml:space="preserve"> — Activities </w:t>
      </w:r>
      <w:r w:rsidR="006369EA" w:rsidRPr="00A836B9">
        <w:t>that</w:t>
      </w:r>
      <w:r w:rsidRPr="00A836B9">
        <w:t xml:space="preserve"> </w:t>
      </w:r>
      <w:r w:rsidR="00F73BF6" w:rsidRPr="00A836B9">
        <w:t xml:space="preserve">aim to </w:t>
      </w:r>
      <w:r w:rsidR="006369EA" w:rsidRPr="00A836B9">
        <w:t xml:space="preserve">strengthen the ability of </w:t>
      </w:r>
      <w:r w:rsidRPr="00A836B9">
        <w:t xml:space="preserve">a transnational buyers’ group to deploy innovative solutions </w:t>
      </w:r>
      <w:r w:rsidR="006369EA" w:rsidRPr="00A836B9">
        <w:t xml:space="preserve">early </w:t>
      </w:r>
      <w:r w:rsidRPr="00A836B9">
        <w:t>by overcom</w:t>
      </w:r>
      <w:r w:rsidR="00585C2B" w:rsidRPr="00A836B9">
        <w:t>ing</w:t>
      </w:r>
      <w:r w:rsidRPr="00A836B9">
        <w:t xml:space="preserve"> the fragmentation of demand for </w:t>
      </w:r>
      <w:r w:rsidR="006369EA" w:rsidRPr="00A836B9">
        <w:t>such</w:t>
      </w:r>
      <w:r w:rsidRPr="00A836B9">
        <w:t xml:space="preserve"> solutions and shar</w:t>
      </w:r>
      <w:r w:rsidR="006369EA" w:rsidRPr="00A836B9">
        <w:t>ing</w:t>
      </w:r>
      <w:r w:rsidRPr="00A836B9">
        <w:t xml:space="preserve"> the risks and costs of acting as early adopters, whil</w:t>
      </w:r>
      <w:r w:rsidR="006369EA" w:rsidRPr="00A836B9">
        <w:t>e</w:t>
      </w:r>
      <w:r w:rsidRPr="00A836B9">
        <w:t xml:space="preserve"> opening market opportunities for industry. Eligible activities include prepar</w:t>
      </w:r>
      <w:r w:rsidR="006369EA" w:rsidRPr="00A836B9">
        <w:t>ing</w:t>
      </w:r>
      <w:r w:rsidRPr="00A836B9">
        <w:t xml:space="preserve"> and implement</w:t>
      </w:r>
      <w:r w:rsidR="006369EA" w:rsidRPr="00A836B9">
        <w:t>ing</w:t>
      </w:r>
      <w:r w:rsidRPr="00A836B9">
        <w:t xml:space="preserve">, under the coordination of a lead procurer, one joint or several coordinated </w:t>
      </w:r>
      <w:r w:rsidR="006369EA" w:rsidRPr="00A836B9">
        <w:t>PPI</w:t>
      </w:r>
      <w:r w:rsidRPr="00A836B9">
        <w:t xml:space="preserve"> by the buyers’ group and additional activities to embed the PPI into a wider set of demand-side activities.</w:t>
      </w:r>
    </w:p>
    <w:p w14:paraId="02980805" w14:textId="77777777" w:rsidR="00C60BD6" w:rsidRPr="00A836B9" w:rsidRDefault="00C60BD6" w:rsidP="490E705E">
      <w:pPr>
        <w:rPr>
          <w:b/>
          <w:bCs/>
          <w:i/>
          <w:iCs/>
          <w:u w:val="single"/>
        </w:rPr>
      </w:pPr>
      <w:r w:rsidRPr="00A836B9">
        <w:rPr>
          <w:b/>
          <w:bCs/>
          <w:i/>
          <w:iCs/>
          <w:u w:val="single"/>
        </w:rPr>
        <w:t>Technology Readiness Levels</w:t>
      </w:r>
    </w:p>
    <w:p w14:paraId="1D785454" w14:textId="1299EC59" w:rsidR="00C60BD6" w:rsidRPr="00A836B9" w:rsidRDefault="00C60BD6" w:rsidP="00C60BD6">
      <w:r w:rsidRPr="00A836B9">
        <w:t xml:space="preserve">Where the specific call conditions require a Technology Readiness Level (TRL), the following definitions apply, unless otherwise specified: </w:t>
      </w:r>
    </w:p>
    <w:p w14:paraId="2C47C9F3" w14:textId="77777777" w:rsidR="00C60BD6" w:rsidRPr="00A836B9" w:rsidRDefault="00C60BD6" w:rsidP="00C60BD6">
      <w:pPr>
        <w:numPr>
          <w:ilvl w:val="0"/>
          <w:numId w:val="24"/>
        </w:numPr>
        <w:jc w:val="left"/>
      </w:pPr>
      <w:r w:rsidRPr="00A836B9">
        <w:t xml:space="preserve">TRL 1 — Basic principles observed </w:t>
      </w:r>
    </w:p>
    <w:p w14:paraId="591B38EE" w14:textId="77777777" w:rsidR="00C60BD6" w:rsidRPr="00A836B9" w:rsidRDefault="00C60BD6" w:rsidP="00C60BD6">
      <w:pPr>
        <w:numPr>
          <w:ilvl w:val="0"/>
          <w:numId w:val="24"/>
        </w:numPr>
        <w:jc w:val="left"/>
      </w:pPr>
      <w:r w:rsidRPr="00A836B9">
        <w:t xml:space="preserve">TRL 2 — Technology concept formulated </w:t>
      </w:r>
    </w:p>
    <w:p w14:paraId="0463F182" w14:textId="77777777" w:rsidR="00C60BD6" w:rsidRPr="00A836B9" w:rsidRDefault="00C60BD6" w:rsidP="00C60BD6">
      <w:pPr>
        <w:numPr>
          <w:ilvl w:val="0"/>
          <w:numId w:val="24"/>
        </w:numPr>
        <w:jc w:val="left"/>
      </w:pPr>
      <w:r w:rsidRPr="00A836B9">
        <w:t xml:space="preserve">TRL 3 — Experimental proof of concept </w:t>
      </w:r>
    </w:p>
    <w:p w14:paraId="0934C30D" w14:textId="4BB29D84" w:rsidR="00C60BD6" w:rsidRPr="00A836B9" w:rsidRDefault="00C60BD6" w:rsidP="00C60BD6">
      <w:pPr>
        <w:numPr>
          <w:ilvl w:val="0"/>
          <w:numId w:val="24"/>
        </w:numPr>
        <w:jc w:val="left"/>
      </w:pPr>
      <w:r w:rsidRPr="00A836B9">
        <w:t xml:space="preserve">TRL 4 — Technology validated in </w:t>
      </w:r>
      <w:r w:rsidR="009866B6" w:rsidRPr="00A836B9">
        <w:t xml:space="preserve">a </w:t>
      </w:r>
      <w:r w:rsidRPr="00A836B9">
        <w:t xml:space="preserve">lab </w:t>
      </w:r>
    </w:p>
    <w:p w14:paraId="482B6D63" w14:textId="35723B68" w:rsidR="00C60BD6" w:rsidRPr="00A836B9" w:rsidRDefault="00C60BD6" w:rsidP="00C60BD6">
      <w:pPr>
        <w:numPr>
          <w:ilvl w:val="0"/>
          <w:numId w:val="24"/>
        </w:numPr>
        <w:jc w:val="left"/>
      </w:pPr>
      <w:r w:rsidRPr="00A836B9">
        <w:t xml:space="preserve">TRL 5 — Technology validated in </w:t>
      </w:r>
      <w:r w:rsidR="009866B6" w:rsidRPr="00A836B9">
        <w:t xml:space="preserve">a </w:t>
      </w:r>
      <w:r w:rsidRPr="00A836B9">
        <w:t xml:space="preserve">relevant environment (industrially relevant environment in the case of key enabling technologies) </w:t>
      </w:r>
    </w:p>
    <w:p w14:paraId="45105A7D" w14:textId="1EB19602" w:rsidR="00C60BD6" w:rsidRPr="00A836B9" w:rsidRDefault="00C60BD6" w:rsidP="00C60BD6">
      <w:pPr>
        <w:numPr>
          <w:ilvl w:val="0"/>
          <w:numId w:val="24"/>
        </w:numPr>
        <w:jc w:val="left"/>
      </w:pPr>
      <w:r w:rsidRPr="00A836B9">
        <w:t xml:space="preserve">TRL 6 — Technology demonstrated in </w:t>
      </w:r>
      <w:r w:rsidR="009866B6" w:rsidRPr="00A836B9">
        <w:t xml:space="preserve">a </w:t>
      </w:r>
      <w:r w:rsidRPr="00A836B9">
        <w:t xml:space="preserve">relevant environment (industrially relevant environment in the case of key enabling technologies) </w:t>
      </w:r>
    </w:p>
    <w:p w14:paraId="1F6C39FD" w14:textId="19C3C53A" w:rsidR="00C60BD6" w:rsidRPr="00A836B9" w:rsidRDefault="00C60BD6" w:rsidP="00C60BD6">
      <w:pPr>
        <w:numPr>
          <w:ilvl w:val="0"/>
          <w:numId w:val="24"/>
        </w:numPr>
        <w:jc w:val="left"/>
      </w:pPr>
      <w:r w:rsidRPr="00A836B9">
        <w:t xml:space="preserve">TRL 7 — System prototype demonstration in </w:t>
      </w:r>
      <w:r w:rsidR="009866B6" w:rsidRPr="00A836B9">
        <w:t xml:space="preserve">an </w:t>
      </w:r>
      <w:r w:rsidRPr="00A836B9">
        <w:t xml:space="preserve">operational environment </w:t>
      </w:r>
    </w:p>
    <w:p w14:paraId="15F96AD1" w14:textId="77777777" w:rsidR="00C60BD6" w:rsidRPr="00A836B9" w:rsidRDefault="00C60BD6" w:rsidP="00C60BD6">
      <w:pPr>
        <w:numPr>
          <w:ilvl w:val="0"/>
          <w:numId w:val="24"/>
        </w:numPr>
        <w:jc w:val="left"/>
      </w:pPr>
      <w:r w:rsidRPr="00A836B9">
        <w:t xml:space="preserve">TRL 8 — System complete and qualified </w:t>
      </w:r>
    </w:p>
    <w:p w14:paraId="1C83877B" w14:textId="46997883" w:rsidR="00C60BD6" w:rsidRPr="00A836B9" w:rsidRDefault="00C60BD6" w:rsidP="00C60BD6">
      <w:pPr>
        <w:numPr>
          <w:ilvl w:val="0"/>
          <w:numId w:val="24"/>
        </w:numPr>
        <w:jc w:val="left"/>
      </w:pPr>
      <w:r w:rsidRPr="00A836B9">
        <w:t xml:space="preserve">TRL 9 — Actual system proven in </w:t>
      </w:r>
      <w:r w:rsidR="009866B6" w:rsidRPr="00A836B9">
        <w:t xml:space="preserve">an </w:t>
      </w:r>
      <w:r w:rsidRPr="00A836B9">
        <w:t>operational environment (competitive manufacturing in the case of key enabling technologies</w:t>
      </w:r>
      <w:r w:rsidR="00F73BF6" w:rsidRPr="00A836B9">
        <w:t>,</w:t>
      </w:r>
      <w:r w:rsidRPr="00A836B9">
        <w:t xml:space="preserve"> or in space)</w:t>
      </w:r>
    </w:p>
    <w:p w14:paraId="7CF12BF5" w14:textId="77777777" w:rsidR="00C60BD6" w:rsidRPr="00A836B9" w:rsidRDefault="00C60BD6" w:rsidP="490E705E">
      <w:pPr>
        <w:rPr>
          <w:b/>
          <w:bCs/>
          <w:i/>
          <w:iCs/>
          <w:u w:val="single"/>
        </w:rPr>
      </w:pPr>
      <w:r w:rsidRPr="00A836B9">
        <w:rPr>
          <w:b/>
          <w:bCs/>
          <w:i/>
          <w:iCs/>
          <w:u w:val="single"/>
        </w:rPr>
        <w:t>Ethics</w:t>
      </w:r>
    </w:p>
    <w:p w14:paraId="2236E1E6" w14:textId="7337B76F" w:rsidR="00C60BD6" w:rsidRPr="00A836B9" w:rsidRDefault="00C60BD6" w:rsidP="00567817">
      <w:r w:rsidRPr="00A836B9">
        <w:t>Projects must comply with</w:t>
      </w:r>
      <w:r w:rsidR="00567817">
        <w:t xml:space="preserve"> </w:t>
      </w:r>
      <w:r w:rsidRPr="00A836B9">
        <w:t>ethical principles (including the highest standards of research integrity)</w:t>
      </w:r>
      <w:r w:rsidR="00567817">
        <w:t xml:space="preserve"> and </w:t>
      </w:r>
      <w:r w:rsidRPr="00A836B9">
        <w:t>applicable EU, international and national law</w:t>
      </w:r>
      <w:r w:rsidR="00F73BF6" w:rsidRPr="00A836B9">
        <w:t>.</w:t>
      </w:r>
    </w:p>
    <w:p w14:paraId="78BD5024" w14:textId="030343B9" w:rsidR="007F5143" w:rsidRPr="00A836B9" w:rsidRDefault="007F5143" w:rsidP="00C60BD6">
      <w:pPr>
        <w:rPr>
          <w:rFonts w:eastAsia="Times New Roman" w:cs="Times New Roman"/>
        </w:rPr>
      </w:pPr>
      <w:r w:rsidRPr="00A836B9">
        <w:rPr>
          <w:rFonts w:eastAsia="Times New Roman" w:cs="Times New Roman"/>
        </w:rPr>
        <w:t xml:space="preserve">Applicants must have completed the </w:t>
      </w:r>
      <w:r w:rsidR="00BA63B7">
        <w:rPr>
          <w:rFonts w:eastAsia="Times New Roman" w:cs="Times New Roman"/>
        </w:rPr>
        <w:t>e</w:t>
      </w:r>
      <w:r w:rsidRPr="00A836B9">
        <w:rPr>
          <w:rFonts w:eastAsia="Times New Roman" w:cs="Times New Roman"/>
        </w:rPr>
        <w:t xml:space="preserve">thics </w:t>
      </w:r>
      <w:r w:rsidR="00BA63B7">
        <w:rPr>
          <w:rFonts w:eastAsia="Times New Roman" w:cs="Times New Roman"/>
        </w:rPr>
        <w:t>s</w:t>
      </w:r>
      <w:r w:rsidRPr="00A836B9">
        <w:rPr>
          <w:rFonts w:eastAsia="Times New Roman" w:cs="Times New Roman"/>
        </w:rPr>
        <w:t>elf-</w:t>
      </w:r>
      <w:r w:rsidR="00BA63B7">
        <w:rPr>
          <w:rFonts w:eastAsia="Times New Roman" w:cs="Times New Roman"/>
        </w:rPr>
        <w:t>a</w:t>
      </w:r>
      <w:r w:rsidRPr="00A836B9">
        <w:rPr>
          <w:rFonts w:eastAsia="Times New Roman" w:cs="Times New Roman"/>
        </w:rPr>
        <w:t xml:space="preserve">ssessment as part of their application. </w:t>
      </w:r>
    </w:p>
    <w:p w14:paraId="4B6170E6" w14:textId="19E10B97" w:rsidR="007F5143" w:rsidRPr="00A836B9" w:rsidRDefault="007F5143" w:rsidP="490E705E">
      <w:pPr>
        <w:rPr>
          <w:iCs/>
        </w:rPr>
      </w:pPr>
      <w:r w:rsidRPr="00A836B9">
        <w:rPr>
          <w:rFonts w:eastAsia="Times New Roman" w:cs="Times New Roman"/>
          <w:noProof/>
        </w:rPr>
        <w:drawing>
          <wp:inline distT="0" distB="0" distL="0" distR="0" wp14:anchorId="0D92E7BD" wp14:editId="57D0EEF6">
            <wp:extent cx="146685" cy="146685"/>
            <wp:effectExtent l="0" t="0" r="5715" b="5715"/>
            <wp:docPr id="8" name="Picture 8" descr="https://lh5.googleusercontent.com/-n5VVWXljoCs/T8X1egaB-BI/AAAAAAAAC1I/fLBP4VIzxQM/s16/infoIc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n5VVWXljoCs/T8X1egaB-BI/AAAAAAAAC1I/fLBP4VIzxQM/s16/infoIcon_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A836B9">
        <w:rPr>
          <w:rFonts w:eastAsia="Times New Roman" w:cs="Times New Roman"/>
        </w:rPr>
        <w:t xml:space="preserve"> For more information, </w:t>
      </w:r>
      <w:r w:rsidRPr="00A836B9">
        <w:rPr>
          <w:rFonts w:eastAsia="Times New Roman" w:cs="Times New Roman"/>
          <w:i/>
          <w:iCs/>
        </w:rPr>
        <w:t>see</w:t>
      </w:r>
      <w:r w:rsidRPr="00A836B9">
        <w:rPr>
          <w:rFonts w:eastAsia="Times New Roman" w:cs="Times New Roman"/>
        </w:rPr>
        <w:t xml:space="preserve"> </w:t>
      </w:r>
      <w:hyperlink r:id="rId17" w:history="1">
        <w:r w:rsidRPr="003569E8">
          <w:rPr>
            <w:rStyle w:val="Hyperlink"/>
            <w:i/>
            <w:iCs/>
          </w:rPr>
          <w:t xml:space="preserve">How to complete your </w:t>
        </w:r>
        <w:r w:rsidR="003F59C8" w:rsidRPr="003569E8">
          <w:rPr>
            <w:rStyle w:val="Hyperlink"/>
            <w:i/>
            <w:iCs/>
          </w:rPr>
          <w:t>e</w:t>
        </w:r>
        <w:r w:rsidRPr="003569E8">
          <w:rPr>
            <w:rStyle w:val="Hyperlink"/>
            <w:i/>
            <w:iCs/>
          </w:rPr>
          <w:t xml:space="preserve">thics </w:t>
        </w:r>
        <w:r w:rsidR="003F59C8" w:rsidRPr="003569E8">
          <w:rPr>
            <w:rStyle w:val="Hyperlink"/>
            <w:i/>
            <w:iCs/>
          </w:rPr>
          <w:t>s</w:t>
        </w:r>
        <w:r w:rsidRPr="003569E8">
          <w:rPr>
            <w:rStyle w:val="Hyperlink"/>
            <w:i/>
            <w:iCs/>
          </w:rPr>
          <w:t>elf-</w:t>
        </w:r>
        <w:r w:rsidR="003F59C8" w:rsidRPr="003569E8">
          <w:rPr>
            <w:rStyle w:val="Hyperlink"/>
            <w:i/>
            <w:iCs/>
          </w:rPr>
          <w:t>a</w:t>
        </w:r>
        <w:r w:rsidRPr="003569E8">
          <w:rPr>
            <w:rStyle w:val="Hyperlink"/>
            <w:i/>
            <w:iCs/>
          </w:rPr>
          <w:t>ssessment</w:t>
        </w:r>
      </w:hyperlink>
      <w:r w:rsidRPr="00A836B9">
        <w:rPr>
          <w:i/>
          <w:iCs/>
          <w:color w:val="0088CC"/>
          <w:u w:val="single"/>
        </w:rPr>
        <w:t>.</w:t>
      </w:r>
    </w:p>
    <w:p w14:paraId="2B974BF0" w14:textId="7FAFB443" w:rsidR="00C60BD6" w:rsidRPr="00A836B9" w:rsidRDefault="00C60BD6" w:rsidP="490E705E">
      <w:pPr>
        <w:rPr>
          <w:iCs/>
        </w:rPr>
      </w:pPr>
      <w:r w:rsidRPr="00A836B9">
        <w:t xml:space="preserve">Projects involving ethics issues will have to undergo an ethics review to authorise funding and may be made subject to specific ethics </w:t>
      </w:r>
      <w:r w:rsidR="007F5143" w:rsidRPr="00A836B9">
        <w:t>requirements</w:t>
      </w:r>
      <w:r w:rsidR="009866B6" w:rsidRPr="00A836B9">
        <w:t xml:space="preserve">. These requirements </w:t>
      </w:r>
      <w:r w:rsidRPr="00A836B9">
        <w:t xml:space="preserve">become part of the grant agreement </w:t>
      </w:r>
      <w:r w:rsidR="00F73BF6" w:rsidRPr="00A836B9">
        <w:t>as</w:t>
      </w:r>
      <w:r w:rsidR="009866B6" w:rsidRPr="00A836B9">
        <w:t xml:space="preserve"> </w:t>
      </w:r>
      <w:r w:rsidRPr="00A836B9">
        <w:t>ethics deliverables, e</w:t>
      </w:r>
      <w:r w:rsidRPr="00A836B9">
        <w:rPr>
          <w:i/>
          <w:iCs/>
        </w:rPr>
        <w:t>.</w:t>
      </w:r>
      <w:r w:rsidRPr="00A836B9">
        <w:rPr>
          <w:iCs/>
        </w:rPr>
        <w:t>g. ethics committee opinions/authorisations required under national or EU law</w:t>
      </w:r>
      <w:r w:rsidRPr="00A836B9">
        <w:t>.</w:t>
      </w:r>
    </w:p>
    <w:p w14:paraId="6648F726" w14:textId="12A37464" w:rsidR="00C60BD6" w:rsidRPr="00A836B9" w:rsidRDefault="00C60BD6" w:rsidP="490E705E">
      <w:pPr>
        <w:rPr>
          <w:b/>
          <w:bCs/>
          <w:i/>
          <w:iCs/>
          <w:u w:val="single"/>
        </w:rPr>
      </w:pPr>
      <w:bookmarkStart w:id="5" w:name="_Toc35588535"/>
      <w:bookmarkStart w:id="6" w:name="_Toc36037056"/>
      <w:r w:rsidRPr="00A836B9">
        <w:rPr>
          <w:b/>
          <w:bCs/>
          <w:i/>
          <w:iCs/>
          <w:u w:val="single"/>
        </w:rPr>
        <w:t>Security</w:t>
      </w:r>
      <w:bookmarkEnd w:id="5"/>
      <w:bookmarkEnd w:id="6"/>
      <w:r w:rsidRPr="00A836B9">
        <w:rPr>
          <w:b/>
          <w:bCs/>
          <w:i/>
          <w:iCs/>
          <w:u w:val="single"/>
        </w:rPr>
        <w:t xml:space="preserve"> </w:t>
      </w:r>
      <w:r w:rsidRPr="00A836B9">
        <w:rPr>
          <w:b/>
          <w:bCs/>
          <w:u w:val="single"/>
        </w:rPr>
        <w:t>—</w:t>
      </w:r>
      <w:r w:rsidRPr="00A836B9">
        <w:rPr>
          <w:b/>
          <w:bCs/>
          <w:i/>
          <w:iCs/>
          <w:u w:val="single"/>
        </w:rPr>
        <w:t xml:space="preserve"> EU</w:t>
      </w:r>
      <w:r w:rsidR="006A4086">
        <w:rPr>
          <w:b/>
          <w:bCs/>
          <w:i/>
          <w:iCs/>
          <w:u w:val="single"/>
        </w:rPr>
        <w:t>-</w:t>
      </w:r>
      <w:r w:rsidRPr="00A836B9">
        <w:rPr>
          <w:b/>
          <w:bCs/>
          <w:i/>
          <w:iCs/>
          <w:u w:val="single"/>
        </w:rPr>
        <w:t>classified and sensitive information</w:t>
      </w:r>
    </w:p>
    <w:p w14:paraId="183E5927" w14:textId="40696A3D" w:rsidR="00C60BD6" w:rsidRPr="00A836B9" w:rsidRDefault="00C60BD6" w:rsidP="490E705E">
      <w:pPr>
        <w:rPr>
          <w:iCs/>
        </w:rPr>
      </w:pPr>
      <w:r w:rsidRPr="00A836B9">
        <w:t xml:space="preserve">Projects involving classified and/or sensitive information will have to go through the </w:t>
      </w:r>
      <w:r w:rsidR="00D864FF" w:rsidRPr="00A836B9">
        <w:t>s</w:t>
      </w:r>
      <w:r w:rsidRPr="00A836B9">
        <w:t xml:space="preserve">ecurity </w:t>
      </w:r>
      <w:r w:rsidR="00D864FF" w:rsidRPr="00A836B9">
        <w:t>a</w:t>
      </w:r>
      <w:r w:rsidRPr="00A836B9">
        <w:t xml:space="preserve">ppraisal process to authorise funding and may be made subject to specific security rules (detailed in </w:t>
      </w:r>
      <w:r w:rsidR="00D864FF" w:rsidRPr="00A836B9">
        <w:t>the</w:t>
      </w:r>
      <w:r w:rsidRPr="00A836B9">
        <w:t xml:space="preserve"> Security Section, which is </w:t>
      </w:r>
      <w:r w:rsidR="00C40DC9" w:rsidRPr="00A836B9">
        <w:t>annex</w:t>
      </w:r>
      <w:r w:rsidRPr="00A836B9">
        <w:t>ed to the grant agreement). Specific provisions for EU-classified information (EUCI) and sensitive information (SEN) will be included in the grant agreement, as necessary and appropriate.</w:t>
      </w:r>
    </w:p>
    <w:p w14:paraId="2AEEF9AC" w14:textId="77777777" w:rsidR="00C60BD6" w:rsidRPr="00A836B9" w:rsidRDefault="00C60BD6" w:rsidP="490E705E">
      <w:pPr>
        <w:rPr>
          <w:iCs/>
        </w:rPr>
      </w:pPr>
      <w:r w:rsidRPr="00A836B9">
        <w:t xml:space="preserve">The rules for protecting EU-classified information (governed by Commission Decision (EU, Euratom) </w:t>
      </w:r>
      <w:hyperlink r:id="rId18" w:history="1">
        <w:r w:rsidRPr="00A836B9">
          <w:rPr>
            <w:color w:val="0088CC"/>
            <w:u w:val="single"/>
          </w:rPr>
          <w:t>2015/444</w:t>
        </w:r>
      </w:hyperlink>
      <w:r w:rsidRPr="00A836B9">
        <w:rPr>
          <w:color w:val="0088CC"/>
          <w:u w:val="single"/>
          <w:vertAlign w:val="superscript"/>
        </w:rPr>
        <w:footnoteReference w:id="14"/>
      </w:r>
      <w:r w:rsidRPr="00A836B9">
        <w:t xml:space="preserve"> and/or national rules) provide for instance that: </w:t>
      </w:r>
    </w:p>
    <w:p w14:paraId="2CED006B" w14:textId="271D79B5" w:rsidR="00C60BD6" w:rsidRPr="00A836B9" w:rsidRDefault="00C60BD6" w:rsidP="00C60BD6">
      <w:pPr>
        <w:numPr>
          <w:ilvl w:val="0"/>
          <w:numId w:val="8"/>
        </w:numPr>
      </w:pPr>
      <w:r w:rsidRPr="00A836B9">
        <w:t>projects involving information classified as TRES SECRET UE/EU TOP SECRET</w:t>
      </w:r>
      <w:r w:rsidRPr="00A836B9" w:rsidDel="00832FCA">
        <w:t xml:space="preserve"> </w:t>
      </w:r>
      <w:r w:rsidRPr="00A836B9">
        <w:t>(or equivalent) can NOT be funded</w:t>
      </w:r>
      <w:r w:rsidR="00597E9D" w:rsidRPr="00A836B9">
        <w:t>;</w:t>
      </w:r>
    </w:p>
    <w:p w14:paraId="1B35E6E9" w14:textId="30D2DC89" w:rsidR="00C60BD6" w:rsidRPr="00A836B9" w:rsidRDefault="00C60BD6" w:rsidP="00C60BD6">
      <w:pPr>
        <w:numPr>
          <w:ilvl w:val="0"/>
          <w:numId w:val="8"/>
        </w:numPr>
      </w:pPr>
      <w:r w:rsidRPr="00A836B9">
        <w:t>EU-classified information must be marked in accordance with the applicable security instructions in the Classification Guide appendix of the Security Aspects Letter (SAL)</w:t>
      </w:r>
      <w:r w:rsidR="00597E9D" w:rsidRPr="00A836B9">
        <w:t>,</w:t>
      </w:r>
      <w:r w:rsidRPr="00A836B9">
        <w:t xml:space="preserve"> which is contained in the Security Section of the grant agreement</w:t>
      </w:r>
      <w:r w:rsidR="00597E9D" w:rsidRPr="00A836B9">
        <w:t>;</w:t>
      </w:r>
    </w:p>
    <w:p w14:paraId="7DE82A8B" w14:textId="0EAFE69A" w:rsidR="00C60BD6" w:rsidRPr="00A836B9" w:rsidRDefault="00C60BD6" w:rsidP="00C60BD6">
      <w:pPr>
        <w:numPr>
          <w:ilvl w:val="0"/>
          <w:numId w:val="8"/>
        </w:numPr>
      </w:pPr>
      <w:r w:rsidRPr="00A836B9">
        <w:t>generation of</w:t>
      </w:r>
      <w:r w:rsidR="00597E9D" w:rsidRPr="00A836B9">
        <w:t>,</w:t>
      </w:r>
      <w:r w:rsidRPr="00A836B9">
        <w:t xml:space="preserve"> or access to</w:t>
      </w:r>
      <w:r w:rsidR="00597E9D" w:rsidRPr="00A836B9">
        <w:t>,</w:t>
      </w:r>
      <w:r w:rsidRPr="00A836B9">
        <w:t xml:space="preserve"> information with classification levels CONFIDENTIEL UE/EU CONFIDENTIAL or above (and RESTREINT UE/EU RESTRICTED, if required by national rules) may take place only </w:t>
      </w:r>
      <w:r w:rsidR="00597E9D" w:rsidRPr="00A836B9">
        <w:t>on the</w:t>
      </w:r>
      <w:r w:rsidRPr="00A836B9">
        <w:t xml:space="preserve"> premises of entities which have been granted a </w:t>
      </w:r>
      <w:r w:rsidR="00597E9D" w:rsidRPr="00A836B9">
        <w:t>f</w:t>
      </w:r>
      <w:r w:rsidRPr="00A836B9">
        <w:t xml:space="preserve">acility </w:t>
      </w:r>
      <w:r w:rsidR="00597E9D" w:rsidRPr="00A836B9">
        <w:t>s</w:t>
      </w:r>
      <w:r w:rsidRPr="00A836B9">
        <w:t xml:space="preserve">ecurity </w:t>
      </w:r>
      <w:r w:rsidR="00597E9D" w:rsidRPr="00A836B9">
        <w:t>c</w:t>
      </w:r>
      <w:r w:rsidRPr="00A836B9">
        <w:t xml:space="preserve">learance (FSC) issued by the competent </w:t>
      </w:r>
      <w:r w:rsidR="00D864FF" w:rsidRPr="00A836B9">
        <w:t>n</w:t>
      </w:r>
      <w:r w:rsidRPr="00A836B9">
        <w:t xml:space="preserve">ational </w:t>
      </w:r>
      <w:r w:rsidR="00D864FF" w:rsidRPr="00A836B9">
        <w:t>s</w:t>
      </w:r>
      <w:r w:rsidRPr="00A836B9">
        <w:t xml:space="preserve">ecurity </w:t>
      </w:r>
      <w:r w:rsidR="00D864FF" w:rsidRPr="00A836B9">
        <w:t>a</w:t>
      </w:r>
      <w:r w:rsidRPr="00A836B9">
        <w:t>uthority (NSA)</w:t>
      </w:r>
      <w:r w:rsidR="00597E9D" w:rsidRPr="00A836B9">
        <w:t>;</w:t>
      </w:r>
      <w:r w:rsidRPr="00A836B9">
        <w:t xml:space="preserve"> </w:t>
      </w:r>
    </w:p>
    <w:p w14:paraId="4EB515A6" w14:textId="0D2E5C05" w:rsidR="00C60BD6" w:rsidRPr="00A836B9" w:rsidRDefault="00C60BD6" w:rsidP="00C60BD6">
      <w:pPr>
        <w:numPr>
          <w:ilvl w:val="0"/>
          <w:numId w:val="8"/>
        </w:numPr>
      </w:pPr>
      <w:r w:rsidRPr="00A836B9">
        <w:t>handling of information classified CONFIDENTIEL UE/EU CONFIDENTIAL or above (and RESTREINT UE/EU RESTRICTED, if required by national rules) may take place only in a secured area accredited by the competent NSA</w:t>
      </w:r>
      <w:r w:rsidR="00597E9D" w:rsidRPr="00A836B9">
        <w:t>;</w:t>
      </w:r>
    </w:p>
    <w:p w14:paraId="140C6496" w14:textId="52508857" w:rsidR="00C60BD6" w:rsidRPr="00A836B9" w:rsidRDefault="00C60BD6" w:rsidP="00C60BD6">
      <w:pPr>
        <w:numPr>
          <w:ilvl w:val="0"/>
          <w:numId w:val="8"/>
        </w:numPr>
      </w:pPr>
      <w:r w:rsidRPr="00A836B9">
        <w:t xml:space="preserve">access to and handling of information classified CONFIDENTIEL UE/EU CONFIDENTIAL or above (and RESTREINT UE/EU RESTRICTED, if required by national rules) may be granted only to individuals with a valid </w:t>
      </w:r>
      <w:r w:rsidR="00D864FF" w:rsidRPr="00A836B9">
        <w:t>p</w:t>
      </w:r>
      <w:r w:rsidRPr="00A836B9">
        <w:t xml:space="preserve">ersonnel </w:t>
      </w:r>
      <w:r w:rsidR="00D864FF" w:rsidRPr="00A836B9">
        <w:t>s</w:t>
      </w:r>
      <w:r w:rsidRPr="00A836B9">
        <w:t xml:space="preserve">ecurity </w:t>
      </w:r>
      <w:r w:rsidR="00D864FF" w:rsidRPr="00A836B9">
        <w:t>c</w:t>
      </w:r>
      <w:r w:rsidRPr="00A836B9">
        <w:t>learance (PSC) and an established need-to-know, who have been briefed on the applicable security rules</w:t>
      </w:r>
      <w:r w:rsidR="00597E9D" w:rsidRPr="00A836B9">
        <w:t>;</w:t>
      </w:r>
    </w:p>
    <w:p w14:paraId="3A7B9BD2" w14:textId="768B59C1" w:rsidR="00C60BD6" w:rsidRPr="00A836B9" w:rsidRDefault="00C60BD6" w:rsidP="00C60BD6">
      <w:pPr>
        <w:numPr>
          <w:ilvl w:val="0"/>
          <w:numId w:val="8"/>
        </w:numPr>
      </w:pPr>
      <w:r w:rsidRPr="00A836B9">
        <w:t>access to</w:t>
      </w:r>
      <w:r w:rsidR="00597E9D" w:rsidRPr="00A836B9">
        <w:t>,</w:t>
      </w:r>
      <w:r w:rsidRPr="00A836B9">
        <w:t xml:space="preserve"> and handling of</w:t>
      </w:r>
      <w:r w:rsidR="00597E9D" w:rsidRPr="00A836B9">
        <w:t>,</w:t>
      </w:r>
      <w:r w:rsidRPr="00A836B9">
        <w:t xml:space="preserve"> information classified RESTREINT UE/EU RESTRICTED may be granted only to individuals who have a need-to-know and have been briefed on the applicable security rules</w:t>
      </w:r>
      <w:r w:rsidR="00597E9D" w:rsidRPr="00A836B9">
        <w:t>;</w:t>
      </w:r>
    </w:p>
    <w:p w14:paraId="33158C26" w14:textId="2AEEDE23" w:rsidR="00C60BD6" w:rsidRPr="00A836B9" w:rsidRDefault="00C60BD6" w:rsidP="00C60BD6">
      <w:pPr>
        <w:numPr>
          <w:ilvl w:val="0"/>
          <w:numId w:val="8"/>
        </w:numPr>
      </w:pPr>
      <w:r w:rsidRPr="00A836B9">
        <w:t>at the end of the grant, the classified information must either be returned or continue to be protected accord</w:t>
      </w:r>
      <w:r w:rsidR="00597E9D" w:rsidRPr="00A836B9">
        <w:t>ing to</w:t>
      </w:r>
      <w:r w:rsidRPr="00A836B9">
        <w:t xml:space="preserve"> the applicable rules</w:t>
      </w:r>
      <w:r w:rsidR="00597E9D" w:rsidRPr="00A836B9">
        <w:t>;</w:t>
      </w:r>
    </w:p>
    <w:p w14:paraId="5CAE64DF" w14:textId="0D01EE70" w:rsidR="00C60BD6" w:rsidRPr="00A836B9" w:rsidRDefault="00C60BD6" w:rsidP="00C60BD6">
      <w:pPr>
        <w:numPr>
          <w:ilvl w:val="0"/>
          <w:numId w:val="8"/>
        </w:numPr>
      </w:pPr>
      <w:r w:rsidRPr="00A836B9">
        <w:t>subcontracting of tasks involving EU-classified information is subject to prior written approval by the European Commission, which is the originator of EU-classified information</w:t>
      </w:r>
      <w:r w:rsidR="00597E9D" w:rsidRPr="00A836B9">
        <w:t>. It</w:t>
      </w:r>
      <w:r w:rsidRPr="00A836B9">
        <w:t xml:space="preserve"> is </w:t>
      </w:r>
      <w:r w:rsidR="00597E9D" w:rsidRPr="00A836B9">
        <w:t xml:space="preserve">only </w:t>
      </w:r>
      <w:r w:rsidRPr="00A836B9">
        <w:t xml:space="preserve">possible </w:t>
      </w:r>
      <w:r w:rsidR="00597E9D" w:rsidRPr="00A836B9">
        <w:t>to subcontract these tasks</w:t>
      </w:r>
      <w:r w:rsidRPr="00A836B9">
        <w:t xml:space="preserve"> to </w:t>
      </w:r>
      <w:r w:rsidRPr="00A836B9">
        <w:rPr>
          <w:lang w:eastAsia="fr-BE"/>
        </w:rPr>
        <w:t>entities established in an EU Member State or in a non-EU country with a security of information agreement with the EU</w:t>
      </w:r>
      <w:r w:rsidRPr="00A836B9">
        <w:rPr>
          <w:rFonts w:eastAsia="Calibri"/>
        </w:rPr>
        <w:t xml:space="preserve"> (or</w:t>
      </w:r>
      <w:r w:rsidRPr="00A836B9">
        <w:rPr>
          <w:lang w:eastAsia="fr-BE"/>
        </w:rPr>
        <w:t xml:space="preserve"> an administrative arrangement with the Commission)</w:t>
      </w:r>
      <w:r w:rsidR="00597E9D" w:rsidRPr="00A836B9">
        <w:rPr>
          <w:lang w:eastAsia="fr-BE"/>
        </w:rPr>
        <w:t>;</w:t>
      </w:r>
      <w:r w:rsidRPr="00A836B9">
        <w:t xml:space="preserve"> </w:t>
      </w:r>
    </w:p>
    <w:p w14:paraId="29609B66" w14:textId="77777777" w:rsidR="00C60BD6" w:rsidRPr="00A836B9" w:rsidRDefault="00C60BD6" w:rsidP="00C60BD6">
      <w:pPr>
        <w:numPr>
          <w:ilvl w:val="0"/>
          <w:numId w:val="8"/>
        </w:numPr>
      </w:pPr>
      <w:r w:rsidRPr="00A836B9">
        <w:t>disclosure of EU-classified information is subject to prior written approval by the European Commission.</w:t>
      </w:r>
    </w:p>
    <w:p w14:paraId="7A367078" w14:textId="7E395D46" w:rsidR="00C60BD6" w:rsidRPr="00A836B9" w:rsidRDefault="00597E9D" w:rsidP="490E705E">
      <w:pPr>
        <w:autoSpaceDE w:val="0"/>
        <w:autoSpaceDN w:val="0"/>
        <w:adjustRightInd w:val="0"/>
        <w:spacing w:line="240" w:lineRule="auto"/>
        <w:rPr>
          <w:rFonts w:cs="Times New Roman"/>
        </w:rPr>
      </w:pPr>
      <w:r w:rsidRPr="00A836B9">
        <w:rPr>
          <w:rFonts w:cs="Times New Roman"/>
        </w:rPr>
        <w:t>D</w:t>
      </w:r>
      <w:r w:rsidR="00C60BD6" w:rsidRPr="00A836B9">
        <w:rPr>
          <w:rFonts w:cs="Times New Roman"/>
        </w:rPr>
        <w:t xml:space="preserve">epending on the type of activity, </w:t>
      </w:r>
      <w:r w:rsidR="00D864FF" w:rsidRPr="00A836B9">
        <w:rPr>
          <w:rFonts w:cs="Times New Roman"/>
        </w:rPr>
        <w:t>FSCs</w:t>
      </w:r>
      <w:r w:rsidR="00C60BD6" w:rsidRPr="00A836B9">
        <w:rPr>
          <w:rFonts w:cs="Times New Roman"/>
        </w:rPr>
        <w:t xml:space="preserve"> may have to be provided before </w:t>
      </w:r>
      <w:r w:rsidR="00D864FF" w:rsidRPr="00A836B9">
        <w:rPr>
          <w:rFonts w:cs="Times New Roman"/>
        </w:rPr>
        <w:t xml:space="preserve">the </w:t>
      </w:r>
      <w:r w:rsidR="00C60BD6" w:rsidRPr="00A836B9">
        <w:rPr>
          <w:rFonts w:cs="Times New Roman"/>
        </w:rPr>
        <w:t xml:space="preserve">grant </w:t>
      </w:r>
      <w:r w:rsidR="00D864FF" w:rsidRPr="00A836B9">
        <w:rPr>
          <w:rFonts w:cs="Times New Roman"/>
        </w:rPr>
        <w:t>is signed</w:t>
      </w:r>
      <w:r w:rsidR="00C60BD6" w:rsidRPr="00A836B9">
        <w:rPr>
          <w:rFonts w:cs="Times New Roman"/>
        </w:rPr>
        <w:t xml:space="preserve">. The granting authority will assess this for each case and fix the delivery date during </w:t>
      </w:r>
      <w:r w:rsidR="00D864FF" w:rsidRPr="00A836B9">
        <w:rPr>
          <w:rFonts w:cs="Times New Roman"/>
        </w:rPr>
        <w:t xml:space="preserve">the </w:t>
      </w:r>
      <w:r w:rsidR="00C60BD6" w:rsidRPr="00A836B9">
        <w:rPr>
          <w:rFonts w:cs="Times New Roman"/>
        </w:rPr>
        <w:t>grant preparation</w:t>
      </w:r>
      <w:r w:rsidR="00D864FF" w:rsidRPr="00A836B9">
        <w:rPr>
          <w:rFonts w:cs="Times New Roman"/>
        </w:rPr>
        <w:t xml:space="preserve"> stage</w:t>
      </w:r>
      <w:r w:rsidR="00C60BD6" w:rsidRPr="00A836B9">
        <w:rPr>
          <w:rFonts w:cs="Times New Roman"/>
        </w:rPr>
        <w:t xml:space="preserve">. It is not possible to sign any grant agreement before at least one of the beneficiaries in the consortium has a </w:t>
      </w:r>
      <w:r w:rsidRPr="00A836B9">
        <w:rPr>
          <w:rFonts w:cs="Times New Roman"/>
        </w:rPr>
        <w:t>FSC</w:t>
      </w:r>
      <w:r w:rsidR="00C60BD6" w:rsidRPr="00A836B9">
        <w:rPr>
          <w:rFonts w:cs="Times New Roman"/>
        </w:rPr>
        <w:t>.</w:t>
      </w:r>
    </w:p>
    <w:p w14:paraId="15859253" w14:textId="2219FAF6" w:rsidR="00C60BD6" w:rsidRPr="00A836B9" w:rsidRDefault="00C60BD6" w:rsidP="490E705E">
      <w:pPr>
        <w:autoSpaceDE w:val="0"/>
        <w:autoSpaceDN w:val="0"/>
        <w:adjustRightInd w:val="0"/>
        <w:spacing w:line="240" w:lineRule="auto"/>
        <w:rPr>
          <w:rFonts w:cs="Times New Roman"/>
        </w:rPr>
      </w:pPr>
      <w:r w:rsidRPr="00A836B9">
        <w:rPr>
          <w:rFonts w:cs="Times New Roman"/>
        </w:rPr>
        <w:t>In certain cases, the project results might not require classification</w:t>
      </w:r>
      <w:r w:rsidR="00597E9D" w:rsidRPr="00A836B9">
        <w:rPr>
          <w:rFonts w:cs="Times New Roman"/>
        </w:rPr>
        <w:t>,</w:t>
      </w:r>
      <w:r w:rsidRPr="00A836B9">
        <w:rPr>
          <w:rFonts w:cs="Times New Roman"/>
        </w:rPr>
        <w:t xml:space="preserve"> but they might be sensitive and require restricted disclosure or limited dissemination </w:t>
      </w:r>
      <w:r w:rsidR="00597E9D" w:rsidRPr="00A836B9">
        <w:rPr>
          <w:rFonts w:cs="Times New Roman"/>
        </w:rPr>
        <w:t>for</w:t>
      </w:r>
      <w:r w:rsidRPr="00A836B9">
        <w:rPr>
          <w:rFonts w:cs="Times New Roman"/>
        </w:rPr>
        <w:t xml:space="preserve"> security reasons, accord</w:t>
      </w:r>
      <w:r w:rsidR="00597E9D" w:rsidRPr="00A836B9">
        <w:rPr>
          <w:rFonts w:cs="Times New Roman"/>
        </w:rPr>
        <w:t>ing</w:t>
      </w:r>
      <w:r w:rsidRPr="00A836B9">
        <w:rPr>
          <w:rFonts w:cs="Times New Roman"/>
        </w:rPr>
        <w:t xml:space="preserve"> </w:t>
      </w:r>
      <w:r w:rsidR="00597E9D" w:rsidRPr="00A836B9">
        <w:rPr>
          <w:rFonts w:cs="Times New Roman"/>
        </w:rPr>
        <w:t>to</w:t>
      </w:r>
      <w:r w:rsidRPr="00A836B9">
        <w:rPr>
          <w:rFonts w:cs="Times New Roman"/>
        </w:rPr>
        <w:t xml:space="preserve"> the applicable instructions in the Security Section. This means that, in principle, third parties should have no access to results subject to this type of restriction. Disclosure of this information is subject to prior written approval by the European Commission.</w:t>
      </w:r>
    </w:p>
    <w:p w14:paraId="404B2ED4" w14:textId="3BE29FF0" w:rsidR="00C60BD6" w:rsidRPr="00A836B9" w:rsidRDefault="00C60BD6" w:rsidP="00C60BD6">
      <w:r w:rsidRPr="00A836B9">
        <w:t xml:space="preserve">Further security recommendations may be added to the grant agreement in the form of security deliverables </w:t>
      </w:r>
      <w:r w:rsidRPr="00A836B9">
        <w:rPr>
          <w:iCs/>
        </w:rPr>
        <w:t>(e.g. establish</w:t>
      </w:r>
      <w:r w:rsidR="005B73B3" w:rsidRPr="00A836B9">
        <w:rPr>
          <w:iCs/>
        </w:rPr>
        <w:t>ing</w:t>
      </w:r>
      <w:r w:rsidRPr="00A836B9">
        <w:rPr>
          <w:iCs/>
        </w:rPr>
        <w:t xml:space="preserve"> </w:t>
      </w:r>
      <w:r w:rsidR="00597E9D" w:rsidRPr="00A836B9">
        <w:rPr>
          <w:iCs/>
        </w:rPr>
        <w:t xml:space="preserve">a </w:t>
      </w:r>
      <w:r w:rsidR="005B73B3" w:rsidRPr="00A836B9">
        <w:rPr>
          <w:iCs/>
        </w:rPr>
        <w:t>s</w:t>
      </w:r>
      <w:r w:rsidRPr="00A836B9">
        <w:rPr>
          <w:iCs/>
        </w:rPr>
        <w:t xml:space="preserve">ecurity </w:t>
      </w:r>
      <w:r w:rsidR="005B73B3" w:rsidRPr="00A836B9">
        <w:rPr>
          <w:iCs/>
        </w:rPr>
        <w:t>a</w:t>
      </w:r>
      <w:r w:rsidRPr="00A836B9">
        <w:rPr>
          <w:iCs/>
        </w:rPr>
        <w:t xml:space="preserve">dvisory </w:t>
      </w:r>
      <w:r w:rsidR="005B73B3" w:rsidRPr="00A836B9">
        <w:rPr>
          <w:iCs/>
        </w:rPr>
        <w:t>b</w:t>
      </w:r>
      <w:r w:rsidRPr="00A836B9">
        <w:rPr>
          <w:iCs/>
        </w:rPr>
        <w:t>oard, appoint</w:t>
      </w:r>
      <w:r w:rsidR="005B73B3" w:rsidRPr="00A836B9">
        <w:rPr>
          <w:iCs/>
        </w:rPr>
        <w:t>ing</w:t>
      </w:r>
      <w:r w:rsidRPr="00A836B9">
        <w:rPr>
          <w:iCs/>
        </w:rPr>
        <w:t xml:space="preserve"> </w:t>
      </w:r>
      <w:r w:rsidR="00597E9D" w:rsidRPr="00A836B9">
        <w:rPr>
          <w:iCs/>
        </w:rPr>
        <w:t>a p</w:t>
      </w:r>
      <w:r w:rsidRPr="00A836B9">
        <w:rPr>
          <w:iCs/>
        </w:rPr>
        <w:t xml:space="preserve">roject </w:t>
      </w:r>
      <w:r w:rsidR="00597E9D" w:rsidRPr="00A836B9">
        <w:rPr>
          <w:iCs/>
        </w:rPr>
        <w:t>s</w:t>
      </w:r>
      <w:r w:rsidRPr="00A836B9">
        <w:rPr>
          <w:iCs/>
        </w:rPr>
        <w:t xml:space="preserve">ecurity </w:t>
      </w:r>
      <w:r w:rsidR="00597E9D" w:rsidRPr="00A836B9">
        <w:rPr>
          <w:iCs/>
        </w:rPr>
        <w:t>o</w:t>
      </w:r>
      <w:r w:rsidRPr="00A836B9">
        <w:rPr>
          <w:iCs/>
        </w:rPr>
        <w:t>fficer, limit</w:t>
      </w:r>
      <w:r w:rsidR="005B73B3" w:rsidRPr="00A836B9">
        <w:rPr>
          <w:iCs/>
        </w:rPr>
        <w:t>ing</w:t>
      </w:r>
      <w:r w:rsidRPr="00A836B9">
        <w:rPr>
          <w:iCs/>
        </w:rPr>
        <w:t xml:space="preserve"> the level of detail, us</w:t>
      </w:r>
      <w:r w:rsidR="00597E9D" w:rsidRPr="00A836B9">
        <w:rPr>
          <w:iCs/>
        </w:rPr>
        <w:t>ing a</w:t>
      </w:r>
      <w:r w:rsidRPr="00A836B9">
        <w:rPr>
          <w:iCs/>
        </w:rPr>
        <w:t xml:space="preserve"> fake scenario, etc.)</w:t>
      </w:r>
      <w:r w:rsidRPr="00A836B9">
        <w:t>.</w:t>
      </w:r>
    </w:p>
    <w:p w14:paraId="1F504918" w14:textId="001E90BC" w:rsidR="00C60BD6" w:rsidRPr="00A836B9" w:rsidRDefault="00C60BD6" w:rsidP="00C60BD6">
      <w:r w:rsidRPr="00A836B9">
        <w:t>In addition, beneficiaries must ensure that their projects are not subject to national/third</w:t>
      </w:r>
      <w:r w:rsidR="005B73B3" w:rsidRPr="00A836B9">
        <w:t>-</w:t>
      </w:r>
      <w:r w:rsidRPr="00A836B9">
        <w:t xml:space="preserve"> country security requirements that could affect implementation or put into question the award of the grants </w:t>
      </w:r>
      <w:r w:rsidRPr="00A836B9">
        <w:rPr>
          <w:iCs/>
        </w:rPr>
        <w:t>(e.g. technology restrictions, national security classification, etc.)</w:t>
      </w:r>
      <w:r w:rsidRPr="00A836B9">
        <w:t>. Any potential security issues must be notified immediately to the granting authority.</w:t>
      </w:r>
    </w:p>
    <w:p w14:paraId="6610DB88" w14:textId="213EBE2F" w:rsidR="00C60BD6" w:rsidRPr="00A836B9" w:rsidRDefault="00C60BD6" w:rsidP="490E705E">
      <w:pPr>
        <w:rPr>
          <w:b/>
          <w:bCs/>
          <w:i/>
          <w:iCs/>
          <w:u w:val="single"/>
        </w:rPr>
      </w:pPr>
      <w:r w:rsidRPr="00A836B9">
        <w:rPr>
          <w:b/>
          <w:bCs/>
          <w:i/>
          <w:iCs/>
          <w:u w:val="single"/>
        </w:rPr>
        <w:t xml:space="preserve">Gender </w:t>
      </w:r>
      <w:r w:rsidR="005B73B3" w:rsidRPr="00A836B9">
        <w:rPr>
          <w:b/>
          <w:bCs/>
          <w:i/>
          <w:iCs/>
          <w:u w:val="single"/>
        </w:rPr>
        <w:t>e</w:t>
      </w:r>
      <w:r w:rsidRPr="00A836B9">
        <w:rPr>
          <w:b/>
          <w:bCs/>
          <w:i/>
          <w:iCs/>
          <w:u w:val="single"/>
        </w:rPr>
        <w:t xml:space="preserve">quality </w:t>
      </w:r>
      <w:r w:rsidR="005B73B3" w:rsidRPr="00A836B9">
        <w:rPr>
          <w:b/>
          <w:bCs/>
          <w:i/>
          <w:iCs/>
          <w:u w:val="single"/>
        </w:rPr>
        <w:t>p</w:t>
      </w:r>
      <w:r w:rsidRPr="00A836B9">
        <w:rPr>
          <w:b/>
          <w:bCs/>
          <w:i/>
          <w:iCs/>
          <w:u w:val="single"/>
        </w:rPr>
        <w:t>lans and gender mainstreaming</w:t>
      </w:r>
    </w:p>
    <w:p w14:paraId="2FC2EAFE" w14:textId="1C240E8F" w:rsidR="00C60BD6" w:rsidRPr="00A836B9" w:rsidRDefault="00C60BD6" w:rsidP="00C60BD6">
      <w:r w:rsidRPr="00A836B9">
        <w:t>To be eligible, legal entities</w:t>
      </w:r>
      <w:r w:rsidR="00B7598D" w:rsidRPr="00A836B9">
        <w:t xml:space="preserve"> from Member States and Associated Countries</w:t>
      </w:r>
      <w:r w:rsidRPr="00A836B9">
        <w:t xml:space="preserve"> that are public bodies, research organisations or higher education establishments </w:t>
      </w:r>
      <w:r w:rsidR="00B7598D" w:rsidRPr="00A836B9">
        <w:t xml:space="preserve">(including private research organisations and higher education establishments) </w:t>
      </w:r>
      <w:r w:rsidRPr="00A836B9">
        <w:t xml:space="preserve">must have a gender equality plan, covering the following minimum </w:t>
      </w:r>
      <w:r w:rsidR="00612D63" w:rsidRPr="00A836B9">
        <w:t xml:space="preserve">process-related </w:t>
      </w:r>
      <w:r w:rsidRPr="00A836B9">
        <w:t>requirements:</w:t>
      </w:r>
    </w:p>
    <w:p w14:paraId="63BDCC0B" w14:textId="7F12DD33" w:rsidR="00C60BD6" w:rsidRPr="00A836B9" w:rsidRDefault="005B73B3" w:rsidP="00C60BD6">
      <w:pPr>
        <w:numPr>
          <w:ilvl w:val="0"/>
          <w:numId w:val="21"/>
        </w:numPr>
      </w:pPr>
      <w:r w:rsidRPr="00A836B9">
        <w:t>p</w:t>
      </w:r>
      <w:r w:rsidR="00C60BD6" w:rsidRPr="00A836B9">
        <w:t xml:space="preserve">ublication: </w:t>
      </w:r>
      <w:r w:rsidRPr="00A836B9">
        <w:t xml:space="preserve">a </w:t>
      </w:r>
      <w:r w:rsidR="00C60BD6" w:rsidRPr="00A836B9">
        <w:t>formal document published on the institution’s website and signed by the top management</w:t>
      </w:r>
      <w:r w:rsidRPr="00A836B9">
        <w:t>;</w:t>
      </w:r>
    </w:p>
    <w:p w14:paraId="03499D90" w14:textId="54662CEF" w:rsidR="00C60BD6" w:rsidRPr="00A836B9" w:rsidRDefault="005B73B3" w:rsidP="00C60BD6">
      <w:pPr>
        <w:numPr>
          <w:ilvl w:val="0"/>
          <w:numId w:val="21"/>
        </w:numPr>
      </w:pPr>
      <w:r w:rsidRPr="00A836B9">
        <w:t>d</w:t>
      </w:r>
      <w:r w:rsidR="00C60BD6" w:rsidRPr="00A836B9">
        <w:t xml:space="preserve">edicated resources: commitment of resources and </w:t>
      </w:r>
      <w:r w:rsidR="00D864FF" w:rsidRPr="00A836B9">
        <w:t xml:space="preserve">expertise in </w:t>
      </w:r>
      <w:r w:rsidR="00C60BD6" w:rsidRPr="00A836B9">
        <w:t xml:space="preserve">gender </w:t>
      </w:r>
      <w:r w:rsidR="00D864FF" w:rsidRPr="00A836B9">
        <w:t>equality</w:t>
      </w:r>
      <w:r w:rsidR="00C60BD6" w:rsidRPr="00A836B9">
        <w:t xml:space="preserve"> to implement </w:t>
      </w:r>
      <w:r w:rsidR="00D864FF" w:rsidRPr="00A836B9">
        <w:t>the plan</w:t>
      </w:r>
      <w:r w:rsidRPr="00A836B9">
        <w:t>;</w:t>
      </w:r>
    </w:p>
    <w:p w14:paraId="3A2E4F71" w14:textId="3DA1C3F6" w:rsidR="00C60BD6" w:rsidRPr="00A836B9" w:rsidRDefault="005B73B3" w:rsidP="00B7598D">
      <w:pPr>
        <w:numPr>
          <w:ilvl w:val="0"/>
          <w:numId w:val="21"/>
        </w:numPr>
      </w:pPr>
      <w:r w:rsidRPr="00A836B9">
        <w:t>d</w:t>
      </w:r>
      <w:r w:rsidR="00C60BD6" w:rsidRPr="00A836B9">
        <w:t xml:space="preserve">ata collection and monitoring: sex/gender disaggregated data on personnel </w:t>
      </w:r>
      <w:r w:rsidR="00B7598D" w:rsidRPr="00A836B9">
        <w:t>(</w:t>
      </w:r>
      <w:r w:rsidR="00C60BD6" w:rsidRPr="00A836B9">
        <w:t>and students</w:t>
      </w:r>
      <w:r w:rsidR="00D864FF" w:rsidRPr="00A836B9">
        <w:t xml:space="preserve">, </w:t>
      </w:r>
      <w:r w:rsidR="00B7598D" w:rsidRPr="00A836B9">
        <w:t xml:space="preserve">for </w:t>
      </w:r>
      <w:r w:rsidR="00D864FF" w:rsidRPr="00A836B9">
        <w:t xml:space="preserve">the </w:t>
      </w:r>
      <w:r w:rsidR="00B7598D" w:rsidRPr="00A836B9">
        <w:t xml:space="preserve">establishments concerned) </w:t>
      </w:r>
      <w:r w:rsidR="00C60BD6" w:rsidRPr="00A836B9">
        <w:t>and annual reporting based on indicators</w:t>
      </w:r>
      <w:r w:rsidRPr="00A836B9">
        <w:t>;</w:t>
      </w:r>
    </w:p>
    <w:p w14:paraId="1DAA6963" w14:textId="612C6CBE" w:rsidR="00C60BD6" w:rsidRPr="00A836B9" w:rsidRDefault="005B73B3" w:rsidP="00C60BD6">
      <w:pPr>
        <w:numPr>
          <w:ilvl w:val="0"/>
          <w:numId w:val="21"/>
        </w:numPr>
      </w:pPr>
      <w:r w:rsidRPr="00A836B9">
        <w:t>t</w:t>
      </w:r>
      <w:r w:rsidR="00C60BD6" w:rsidRPr="00A836B9">
        <w:t xml:space="preserve">raining: </w:t>
      </w:r>
      <w:r w:rsidRPr="00A836B9">
        <w:t>a</w:t>
      </w:r>
      <w:r w:rsidR="00C60BD6" w:rsidRPr="00A836B9">
        <w:t>wareness raising/training on gender equality and unconscious gender biases for staff and decision-makers</w:t>
      </w:r>
      <w:r w:rsidRPr="00A836B9">
        <w:t>.</w:t>
      </w:r>
    </w:p>
    <w:p w14:paraId="2D99C273" w14:textId="78416A0D" w:rsidR="00C60BD6" w:rsidRPr="00A836B9" w:rsidRDefault="00612D63" w:rsidP="00612D63">
      <w:r w:rsidRPr="00A836B9">
        <w:t xml:space="preserve">Content-wise, </w:t>
      </w:r>
      <w:r w:rsidR="00CE0D57">
        <w:t>i</w:t>
      </w:r>
      <w:r w:rsidR="00CE0D57" w:rsidRPr="00A836B9">
        <w:t xml:space="preserve">t is recommended that the gender equality plan </w:t>
      </w:r>
      <w:r w:rsidR="00C60BD6" w:rsidRPr="00A836B9">
        <w:t>addresse</w:t>
      </w:r>
      <w:r w:rsidR="008D295E" w:rsidRPr="00A836B9">
        <w:t>s</w:t>
      </w:r>
      <w:r w:rsidR="00C60BD6" w:rsidRPr="00A836B9">
        <w:t xml:space="preserve"> </w:t>
      </w:r>
      <w:r w:rsidR="008D295E" w:rsidRPr="00A836B9">
        <w:t>the following areas, using</w:t>
      </w:r>
      <w:r w:rsidR="00C60BD6" w:rsidRPr="00A836B9">
        <w:t xml:space="preserve"> concrete measures and targets:</w:t>
      </w:r>
    </w:p>
    <w:p w14:paraId="7EC57430" w14:textId="108BF3AD" w:rsidR="00C60BD6" w:rsidRPr="00A836B9" w:rsidRDefault="00C60BD6" w:rsidP="00612D63">
      <w:pPr>
        <w:numPr>
          <w:ilvl w:val="0"/>
          <w:numId w:val="21"/>
        </w:numPr>
      </w:pPr>
      <w:r w:rsidRPr="00A836B9">
        <w:t>work-life balance and organisational culture</w:t>
      </w:r>
      <w:r w:rsidR="005B73B3" w:rsidRPr="00A836B9">
        <w:t>;</w:t>
      </w:r>
    </w:p>
    <w:p w14:paraId="78076167" w14:textId="7C0C25AF" w:rsidR="00C60BD6" w:rsidRPr="00A836B9" w:rsidRDefault="00C60BD6" w:rsidP="00612D63">
      <w:pPr>
        <w:numPr>
          <w:ilvl w:val="0"/>
          <w:numId w:val="21"/>
        </w:numPr>
      </w:pPr>
      <w:r w:rsidRPr="00A836B9">
        <w:t>gender balance in leadership and decision-making</w:t>
      </w:r>
      <w:r w:rsidR="005B73B3" w:rsidRPr="00A836B9">
        <w:t>;</w:t>
      </w:r>
    </w:p>
    <w:p w14:paraId="4E3091F2" w14:textId="258804A6" w:rsidR="00C60BD6" w:rsidRPr="00A836B9" w:rsidRDefault="00C60BD6" w:rsidP="00612D63">
      <w:pPr>
        <w:numPr>
          <w:ilvl w:val="0"/>
          <w:numId w:val="21"/>
        </w:numPr>
      </w:pPr>
      <w:r w:rsidRPr="00A836B9">
        <w:t>gender equality in recruitment and career progression</w:t>
      </w:r>
      <w:r w:rsidR="005B73B3" w:rsidRPr="00A836B9">
        <w:t>;</w:t>
      </w:r>
    </w:p>
    <w:p w14:paraId="385BCF8D" w14:textId="67054A52" w:rsidR="00C60BD6" w:rsidRPr="00A836B9" w:rsidRDefault="00C60BD6" w:rsidP="00612D63">
      <w:pPr>
        <w:numPr>
          <w:ilvl w:val="0"/>
          <w:numId w:val="21"/>
        </w:numPr>
      </w:pPr>
      <w:r w:rsidRPr="00A836B9">
        <w:t>integration of the gender dimension into research and teaching content</w:t>
      </w:r>
      <w:r w:rsidR="005B73B3" w:rsidRPr="00A836B9">
        <w:t>;</w:t>
      </w:r>
    </w:p>
    <w:p w14:paraId="35361782" w14:textId="51770AEE" w:rsidR="00C60BD6" w:rsidRPr="00A836B9" w:rsidRDefault="00C60BD6" w:rsidP="00612D63">
      <w:pPr>
        <w:numPr>
          <w:ilvl w:val="0"/>
          <w:numId w:val="21"/>
        </w:numPr>
      </w:pPr>
      <w:r w:rsidRPr="00A836B9">
        <w:t>measures against gender-based violence</w:t>
      </w:r>
      <w:r w:rsidR="003E2FE6" w:rsidRPr="00A836B9">
        <w:t>,</w:t>
      </w:r>
      <w:r w:rsidRPr="00A836B9">
        <w:t xml:space="preserve"> including sexual harassment.</w:t>
      </w:r>
    </w:p>
    <w:p w14:paraId="2996CFE9" w14:textId="7173B916" w:rsidR="00612D63" w:rsidRPr="00A836B9" w:rsidRDefault="00C60BD6" w:rsidP="00612D63">
      <w:r w:rsidRPr="00A836B9">
        <w:t>A self-declaration will be requested at proposal stage.</w:t>
      </w:r>
      <w:r w:rsidR="0099732C" w:rsidRPr="00A836B9">
        <w:t xml:space="preserve"> If all the above-mention</w:t>
      </w:r>
      <w:r w:rsidR="00C73DF0" w:rsidRPr="00A836B9">
        <w:t>e</w:t>
      </w:r>
      <w:r w:rsidR="0099732C" w:rsidRPr="00A836B9">
        <w:t>d</w:t>
      </w:r>
      <w:r w:rsidR="00C73DF0" w:rsidRPr="00A836B9">
        <w:t xml:space="preserve"> mandatory requirements are met through another strategic document, such as a development plan or an inclusion or diversity strategy, it can be considered as an equivalent.</w:t>
      </w:r>
      <w:r w:rsidR="00567817">
        <w:t xml:space="preserve"> </w:t>
      </w:r>
      <w:r w:rsidR="00612D63" w:rsidRPr="00A836B9">
        <w:t>This eligibility criterion does not apply to other categories of legal entities, such as private</w:t>
      </w:r>
      <w:r w:rsidR="005B73B3" w:rsidRPr="00A836B9">
        <w:t xml:space="preserve"> </w:t>
      </w:r>
      <w:r w:rsidR="00612D63" w:rsidRPr="00A836B9">
        <w:t>for-profit organisations</w:t>
      </w:r>
      <w:r w:rsidR="003E2FE6" w:rsidRPr="00A836B9">
        <w:t>,</w:t>
      </w:r>
      <w:r w:rsidR="00612D63" w:rsidRPr="00A836B9">
        <w:t xml:space="preserve"> including SMEs, non-governmental or civil society organisations.</w:t>
      </w:r>
    </w:p>
    <w:p w14:paraId="22860659" w14:textId="608D85BB" w:rsidR="00C60BD6" w:rsidRPr="00A836B9" w:rsidRDefault="00612D63" w:rsidP="00C60BD6">
      <w:r w:rsidRPr="00A836B9">
        <w:t>A transition/grace period will be implemented before full enforcement of this eligibility criterion for calls with deadlines in 2022.</w:t>
      </w:r>
      <w:r w:rsidR="0099732C" w:rsidRPr="00A836B9">
        <w:t xml:space="preserve"> </w:t>
      </w:r>
      <w:r w:rsidR="00C60BD6" w:rsidRPr="00A836B9">
        <w:t>Beneficiaries must also take all measures to promote equal opportunities between men and women in implement</w:t>
      </w:r>
      <w:r w:rsidR="005B73B3" w:rsidRPr="00A836B9">
        <w:t>ing</w:t>
      </w:r>
      <w:r w:rsidR="00C60BD6" w:rsidRPr="00A836B9">
        <w:t xml:space="preserve"> the action and, where applicable, in line with their gender equality plan. They must aim</w:t>
      </w:r>
      <w:r w:rsidR="003E2FE6" w:rsidRPr="00A836B9">
        <w:t xml:space="preserve"> to achieve</w:t>
      </w:r>
      <w:r w:rsidR="00C60BD6" w:rsidRPr="00A836B9">
        <w:t>, to the extent possible, a gender balance at all levels of personnel assigned to the action, including at supervisory and managerial level.</w:t>
      </w:r>
    </w:p>
    <w:p w14:paraId="0AAE54E2" w14:textId="77777777" w:rsidR="00C60BD6" w:rsidRPr="00A836B9" w:rsidRDefault="00C60BD6" w:rsidP="490E705E">
      <w:pPr>
        <w:rPr>
          <w:b/>
          <w:bCs/>
          <w:i/>
          <w:iCs/>
          <w:u w:val="single"/>
        </w:rPr>
      </w:pPr>
      <w:r w:rsidRPr="00A836B9">
        <w:rPr>
          <w:b/>
          <w:bCs/>
          <w:i/>
          <w:iCs/>
          <w:u w:val="single"/>
        </w:rPr>
        <w:t>Financial support to third parties</w:t>
      </w:r>
    </w:p>
    <w:p w14:paraId="5CFB1FB1" w14:textId="4E51EC85" w:rsidR="00C60BD6" w:rsidRPr="00A836B9" w:rsidRDefault="00C60BD6" w:rsidP="00C60BD6">
      <w:r w:rsidRPr="00A836B9">
        <w:t xml:space="preserve">Where the specific call conditions allow for financial support to third parties, the applicants must clearly </w:t>
      </w:r>
      <w:r w:rsidR="003E2FE6" w:rsidRPr="00A836B9">
        <w:t>describe</w:t>
      </w:r>
      <w:r w:rsidRPr="00A836B9">
        <w:t xml:space="preserve"> the objectives and the </w:t>
      </w:r>
      <w:r w:rsidR="003E2FE6" w:rsidRPr="00A836B9">
        <w:t xml:space="preserve">expected </w:t>
      </w:r>
      <w:r w:rsidRPr="00A836B9">
        <w:t xml:space="preserve">results, including the elements listed in the application template. </w:t>
      </w:r>
      <w:r w:rsidR="005B73B3" w:rsidRPr="00A836B9">
        <w:t>T</w:t>
      </w:r>
      <w:r w:rsidRPr="00A836B9">
        <w:t xml:space="preserve">he following conditions </w:t>
      </w:r>
      <w:r w:rsidR="005B73B3" w:rsidRPr="00A836B9">
        <w:t>must also</w:t>
      </w:r>
      <w:r w:rsidRPr="00A836B9">
        <w:t xml:space="preserve"> be fulfilled:</w:t>
      </w:r>
    </w:p>
    <w:p w14:paraId="28FBAEFB" w14:textId="37EB7A91" w:rsidR="00C60BD6" w:rsidRPr="00A836B9" w:rsidRDefault="00C60BD6" w:rsidP="00C60BD6">
      <w:pPr>
        <w:numPr>
          <w:ilvl w:val="1"/>
          <w:numId w:val="21"/>
        </w:numPr>
        <w:ind w:left="709"/>
      </w:pPr>
      <w:r w:rsidRPr="00A836B9">
        <w:t xml:space="preserve">projects must publish their open calls widely and adhere to EU standards </w:t>
      </w:r>
      <w:r w:rsidR="005B73B3" w:rsidRPr="00A836B9">
        <w:t>of</w:t>
      </w:r>
      <w:r w:rsidRPr="00A836B9">
        <w:t xml:space="preserve"> transparency, equal treatment, conflict of interest and confidentiality</w:t>
      </w:r>
      <w:r w:rsidR="005B73B3" w:rsidRPr="00A836B9">
        <w:t>;</w:t>
      </w:r>
      <w:r w:rsidRPr="00A836B9">
        <w:t xml:space="preserve"> </w:t>
      </w:r>
    </w:p>
    <w:p w14:paraId="5A749951" w14:textId="2C9A845E" w:rsidR="00C60BD6" w:rsidRPr="00A836B9" w:rsidRDefault="00C60BD6" w:rsidP="490E705E">
      <w:pPr>
        <w:numPr>
          <w:ilvl w:val="1"/>
          <w:numId w:val="21"/>
        </w:numPr>
        <w:ind w:left="709"/>
      </w:pPr>
      <w:r w:rsidRPr="00A836B9">
        <w:t>all calls for third parties</w:t>
      </w:r>
      <w:r w:rsidR="00870AB9" w:rsidRPr="00A836B9">
        <w:t xml:space="preserve"> </w:t>
      </w:r>
      <w:r w:rsidR="00870AB9" w:rsidRPr="00A836B9">
        <w:rPr>
          <w:rFonts w:eastAsia="Times New Roman" w:cs="Times New Roman"/>
        </w:rPr>
        <w:t>and all calls that are implemented by third parties</w:t>
      </w:r>
      <w:r w:rsidRPr="00A836B9">
        <w:t xml:space="preserve"> must be published on the Funding &amp; Tenders Portal, and on the beneficiaries’ websites</w:t>
      </w:r>
      <w:r w:rsidR="005B73B3" w:rsidRPr="00A836B9">
        <w:t>;</w:t>
      </w:r>
    </w:p>
    <w:p w14:paraId="462A92DD" w14:textId="5FC9D4C1" w:rsidR="00C60BD6" w:rsidRPr="00A836B9" w:rsidRDefault="00C60BD6" w:rsidP="00C60BD6">
      <w:pPr>
        <w:numPr>
          <w:ilvl w:val="1"/>
          <w:numId w:val="21"/>
        </w:numPr>
        <w:ind w:left="709"/>
      </w:pPr>
      <w:r w:rsidRPr="00A836B9">
        <w:t xml:space="preserve">the calls must remain open for at least </w:t>
      </w:r>
      <w:r w:rsidR="00715D5B" w:rsidRPr="00A836B9">
        <w:t>2</w:t>
      </w:r>
      <w:r w:rsidRPr="00A836B9">
        <w:t xml:space="preserve"> months</w:t>
      </w:r>
      <w:r w:rsidR="005B73B3" w:rsidRPr="00A836B9">
        <w:t>;</w:t>
      </w:r>
      <w:r w:rsidRPr="00A836B9">
        <w:t xml:space="preserve"> </w:t>
      </w:r>
    </w:p>
    <w:p w14:paraId="6A510B57" w14:textId="2FE38405" w:rsidR="00C60BD6" w:rsidRPr="00A836B9" w:rsidRDefault="00C60BD6" w:rsidP="00C60BD6">
      <w:pPr>
        <w:numPr>
          <w:ilvl w:val="1"/>
          <w:numId w:val="21"/>
        </w:numPr>
        <w:ind w:left="709"/>
      </w:pPr>
      <w:r w:rsidRPr="00A836B9">
        <w:t>if submission deadlines are changed, this must immediately be announced and registered applicants must be informed of the change</w:t>
      </w:r>
      <w:r w:rsidR="00715D5B" w:rsidRPr="00A836B9">
        <w:t>;</w:t>
      </w:r>
    </w:p>
    <w:p w14:paraId="422CE764" w14:textId="13D5F66E" w:rsidR="00C60BD6" w:rsidRPr="00A836B9" w:rsidRDefault="00C60BD6" w:rsidP="00C60BD6">
      <w:pPr>
        <w:numPr>
          <w:ilvl w:val="1"/>
          <w:numId w:val="21"/>
        </w:numPr>
        <w:ind w:left="709"/>
      </w:pPr>
      <w:r w:rsidRPr="00A836B9">
        <w:t>projects must publish the outcome of the calls without delay, including a description of third</w:t>
      </w:r>
      <w:r w:rsidR="003E2FE6" w:rsidRPr="00A836B9">
        <w:t>-</w:t>
      </w:r>
      <w:r w:rsidRPr="00A836B9">
        <w:t xml:space="preserve">party projects, the date of the award, </w:t>
      </w:r>
      <w:r w:rsidR="003E2FE6" w:rsidRPr="00A836B9">
        <w:t xml:space="preserve">the </w:t>
      </w:r>
      <w:r w:rsidRPr="00A836B9">
        <w:t>duration, and the legal name and country</w:t>
      </w:r>
      <w:r w:rsidR="00715D5B" w:rsidRPr="00A836B9">
        <w:t>;</w:t>
      </w:r>
    </w:p>
    <w:p w14:paraId="4FB5B88D" w14:textId="77777777" w:rsidR="00C60BD6" w:rsidRPr="00A836B9" w:rsidRDefault="00C60BD6" w:rsidP="00C60BD6">
      <w:pPr>
        <w:numPr>
          <w:ilvl w:val="1"/>
          <w:numId w:val="21"/>
        </w:numPr>
        <w:ind w:left="709"/>
      </w:pPr>
      <w:r w:rsidRPr="00A836B9">
        <w:t>the calls must have a clear European dimension.</w:t>
      </w:r>
    </w:p>
    <w:p w14:paraId="0975CF2B" w14:textId="77777777" w:rsidR="00C60BD6" w:rsidRPr="00A836B9" w:rsidRDefault="00C60BD6" w:rsidP="00C60BD6">
      <w:r w:rsidRPr="00A836B9">
        <w:t>Further conditions may be stipulated in the specific conditions for the topic.</w:t>
      </w:r>
    </w:p>
    <w:p w14:paraId="07996537" w14:textId="77777777" w:rsidR="00C60BD6" w:rsidRPr="00A836B9" w:rsidRDefault="00C60BD6" w:rsidP="00C60BD6">
      <w:pPr>
        <w:rPr>
          <w:b/>
          <w:bCs/>
        </w:rPr>
      </w:pPr>
      <w:r w:rsidRPr="00A836B9">
        <w:rPr>
          <w:noProof/>
        </w:rPr>
        <w:drawing>
          <wp:inline distT="0" distB="0" distL="0" distR="0" wp14:anchorId="13DF3B98" wp14:editId="75FDF24F">
            <wp:extent cx="124460" cy="124460"/>
            <wp:effectExtent l="0" t="0" r="8890" b="8890"/>
            <wp:docPr id="7" name="Picture 7" descr="https://lh5.googleusercontent.com/-n5VVWXljoCs/T8X1egaB-BI/AAAAAAAAC1I/fLBP4VIzxQM/s16/infoIc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n5VVWXljoCs/T8X1egaB-BI/AAAAAAAAC1I/fLBP4VIzxQM/s16/infoIcon_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836B9">
        <w:t xml:space="preserve"> For more information, </w:t>
      </w:r>
      <w:r w:rsidRPr="00A836B9">
        <w:rPr>
          <w:i/>
          <w:iCs/>
        </w:rPr>
        <w:t>see AGA — Annotated Model Grant Agreement, articles 6.2.D.1 and 9.4.</w:t>
      </w:r>
    </w:p>
    <w:p w14:paraId="63AD4848" w14:textId="2C5D1010" w:rsidR="00C60BD6" w:rsidRPr="00A836B9" w:rsidRDefault="00567817" w:rsidP="00C60BD6">
      <w:pPr>
        <w:jc w:val="left"/>
      </w:pPr>
      <w:r w:rsidRPr="00A836B9">
        <w:rPr>
          <w:b/>
          <w:i/>
          <w:noProof/>
          <w:szCs w:val="24"/>
          <w:u w:val="single"/>
        </w:rPr>
        <mc:AlternateContent>
          <mc:Choice Requires="wps">
            <w:drawing>
              <wp:anchor distT="0" distB="0" distL="114300" distR="114300" simplePos="0" relativeHeight="251663872" behindDoc="0" locked="0" layoutInCell="1" allowOverlap="1" wp14:anchorId="29006C32" wp14:editId="19F36E7A">
                <wp:simplePos x="0" y="0"/>
                <wp:positionH relativeFrom="column">
                  <wp:posOffset>120770</wp:posOffset>
                </wp:positionH>
                <wp:positionV relativeFrom="paragraph">
                  <wp:posOffset>-43036</wp:posOffset>
                </wp:positionV>
                <wp:extent cx="5473065" cy="8867955"/>
                <wp:effectExtent l="0" t="0" r="1333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867955"/>
                        </a:xfrm>
                        <a:prstGeom prst="rect">
                          <a:avLst/>
                        </a:prstGeom>
                        <a:solidFill>
                          <a:srgbClr val="F2F2F2"/>
                        </a:solidFill>
                        <a:ln w="19050">
                          <a:solidFill>
                            <a:srgbClr val="BFBFBF"/>
                          </a:solidFill>
                          <a:miter lim="800000"/>
                          <a:headEnd/>
                          <a:tailEnd/>
                        </a:ln>
                      </wps:spPr>
                      <wps:txbx>
                        <w:txbxContent>
                          <w:p w14:paraId="4AFD4766" w14:textId="77777777" w:rsidR="004746B1" w:rsidRPr="006010BA" w:rsidRDefault="004746B1" w:rsidP="003E2FE6">
                            <w:pPr>
                              <w:pStyle w:val="Text1"/>
                              <w:spacing w:before="120" w:after="120"/>
                              <w:ind w:left="0"/>
                              <w:rPr>
                                <w:rFonts w:cs="Arial"/>
                                <w:color w:val="F79646"/>
                                <w:sz w:val="16"/>
                                <w:szCs w:val="18"/>
                              </w:rPr>
                            </w:pPr>
                            <w:r w:rsidRPr="006010BA">
                              <w:rPr>
                                <w:noProof/>
                                <w:sz w:val="18"/>
                                <w:szCs w:val="18"/>
                                <w:lang w:eastAsia="en-GB"/>
                              </w:rPr>
                              <w:t xml:space="preserve"> </w:t>
                            </w:r>
                            <w:r w:rsidRPr="00F14350">
                              <w:rPr>
                                <w:rFonts w:cs="Arial"/>
                                <w:b/>
                                <w:color w:val="595959"/>
                                <w:sz w:val="18"/>
                                <w:szCs w:val="18"/>
                              </w:rPr>
                              <w:t>O</w:t>
                            </w:r>
                            <w:r>
                              <w:rPr>
                                <w:rFonts w:cs="Arial"/>
                                <w:b/>
                                <w:color w:val="595959"/>
                                <w:sz w:val="18"/>
                                <w:szCs w:val="18"/>
                              </w:rPr>
                              <w:t>THER TYPES OF ACTIONS AND FORMS OF FUNDING</w:t>
                            </w:r>
                            <w:r w:rsidRPr="00F14350">
                              <w:rPr>
                                <w:rFonts w:cs="Arial"/>
                                <w:b/>
                                <w:color w:val="595959"/>
                                <w:sz w:val="18"/>
                                <w:szCs w:val="18"/>
                              </w:rPr>
                              <w:t xml:space="preserve"> </w:t>
                            </w:r>
                          </w:p>
                          <w:p w14:paraId="71A8F5AF" w14:textId="49E7A1E9" w:rsidR="004746B1" w:rsidRPr="00B23708" w:rsidRDefault="004746B1" w:rsidP="003E2FE6">
                            <w:pPr>
                              <w:spacing w:after="120" w:line="240" w:lineRule="auto"/>
                              <w:ind w:right="79"/>
                              <w:rPr>
                                <w:color w:val="595959"/>
                                <w:sz w:val="18"/>
                                <w:szCs w:val="18"/>
                              </w:rPr>
                            </w:pPr>
                            <w:r w:rsidRPr="00B23708">
                              <w:rPr>
                                <w:color w:val="595959"/>
                                <w:sz w:val="18"/>
                                <w:szCs w:val="18"/>
                              </w:rPr>
                              <w:t xml:space="preserve">In addition to the eligible activities described in </w:t>
                            </w:r>
                            <w:r w:rsidR="00567817">
                              <w:rPr>
                                <w:color w:val="595959"/>
                                <w:sz w:val="18"/>
                                <w:szCs w:val="18"/>
                              </w:rPr>
                              <w:t>Annex</w:t>
                            </w:r>
                            <w:r w:rsidR="00567817" w:rsidRPr="00B23708">
                              <w:rPr>
                                <w:color w:val="595959"/>
                                <w:sz w:val="18"/>
                                <w:szCs w:val="18"/>
                              </w:rPr>
                              <w:t xml:space="preserve"> </w:t>
                            </w:r>
                            <w:r w:rsidRPr="00B23708">
                              <w:rPr>
                                <w:color w:val="595959"/>
                                <w:sz w:val="18"/>
                                <w:szCs w:val="18"/>
                              </w:rPr>
                              <w:t>B</w:t>
                            </w:r>
                            <w:r>
                              <w:rPr>
                                <w:color w:val="595959"/>
                                <w:sz w:val="18"/>
                                <w:szCs w:val="18"/>
                              </w:rPr>
                              <w:t xml:space="preserve"> above</w:t>
                            </w:r>
                            <w:r w:rsidRPr="00B23708">
                              <w:rPr>
                                <w:color w:val="595959"/>
                                <w:sz w:val="18"/>
                                <w:szCs w:val="18"/>
                              </w:rPr>
                              <w:t>, the following types of action and forms of funding are used in Horizon Europe. They are usually placed in the ‘Other Actions</w:t>
                            </w:r>
                            <w:r>
                              <w:rPr>
                                <w:color w:val="595959"/>
                                <w:sz w:val="18"/>
                                <w:szCs w:val="18"/>
                              </w:rPr>
                              <w:t>’</w:t>
                            </w:r>
                            <w:r w:rsidRPr="00B23708">
                              <w:rPr>
                                <w:color w:val="595959"/>
                                <w:sz w:val="18"/>
                                <w:szCs w:val="18"/>
                              </w:rPr>
                              <w:t xml:space="preserve"> section of the </w:t>
                            </w:r>
                            <w:r>
                              <w:rPr>
                                <w:color w:val="595959"/>
                                <w:sz w:val="18"/>
                                <w:szCs w:val="18"/>
                              </w:rPr>
                              <w:t>w</w:t>
                            </w:r>
                            <w:r w:rsidRPr="00B23708">
                              <w:rPr>
                                <w:color w:val="595959"/>
                                <w:sz w:val="18"/>
                                <w:szCs w:val="18"/>
                              </w:rPr>
                              <w:t xml:space="preserve">ork </w:t>
                            </w:r>
                            <w:r>
                              <w:rPr>
                                <w:color w:val="595959"/>
                                <w:sz w:val="18"/>
                                <w:szCs w:val="18"/>
                              </w:rPr>
                              <w:t>p</w:t>
                            </w:r>
                            <w:r w:rsidRPr="00B23708">
                              <w:rPr>
                                <w:color w:val="595959"/>
                                <w:sz w:val="18"/>
                                <w:szCs w:val="18"/>
                              </w:rPr>
                              <w:t xml:space="preserve">rogramme parts and </w:t>
                            </w:r>
                            <w:r>
                              <w:rPr>
                                <w:color w:val="595959"/>
                                <w:sz w:val="18"/>
                                <w:szCs w:val="18"/>
                              </w:rPr>
                              <w:t>are</w:t>
                            </w:r>
                            <w:r w:rsidRPr="00B23708">
                              <w:rPr>
                                <w:color w:val="595959"/>
                                <w:sz w:val="18"/>
                                <w:szCs w:val="18"/>
                              </w:rPr>
                              <w:t xml:space="preserve"> </w:t>
                            </w:r>
                            <w:r>
                              <w:rPr>
                                <w:color w:val="595959"/>
                                <w:sz w:val="18"/>
                                <w:szCs w:val="18"/>
                              </w:rPr>
                              <w:t xml:space="preserve">not all </w:t>
                            </w:r>
                            <w:r w:rsidRPr="00B23708">
                              <w:rPr>
                                <w:color w:val="595959"/>
                                <w:sz w:val="18"/>
                                <w:szCs w:val="18"/>
                              </w:rPr>
                              <w:t>subject to calls for proposals.</w:t>
                            </w:r>
                          </w:p>
                          <w:p w14:paraId="79E62E69" w14:textId="77777777" w:rsidR="004746B1" w:rsidRPr="00A53E20" w:rsidRDefault="004746B1" w:rsidP="003E2FE6">
                            <w:pPr>
                              <w:numPr>
                                <w:ilvl w:val="0"/>
                                <w:numId w:val="11"/>
                              </w:numPr>
                              <w:spacing w:after="120" w:line="240" w:lineRule="auto"/>
                              <w:ind w:left="480" w:right="79"/>
                              <w:rPr>
                                <w:color w:val="595959"/>
                                <w:sz w:val="18"/>
                                <w:szCs w:val="18"/>
                              </w:rPr>
                            </w:pPr>
                            <w:r>
                              <w:rPr>
                                <w:b/>
                                <w:color w:val="595959"/>
                                <w:sz w:val="18"/>
                              </w:rPr>
                              <w:t>Grants to identified beneficiaries</w:t>
                            </w:r>
                            <w:r>
                              <w:rPr>
                                <w:color w:val="595959"/>
                                <w:sz w:val="18"/>
                              </w:rPr>
                              <w:t xml:space="preserve"> </w:t>
                            </w:r>
                            <w:r w:rsidRPr="00A53E20">
                              <w:rPr>
                                <w:rFonts w:eastAsia="Calibri"/>
                                <w:b/>
                                <w:color w:val="595959"/>
                                <w:sz w:val="18"/>
                                <w:szCs w:val="18"/>
                              </w:rPr>
                              <w:t>—</w:t>
                            </w:r>
                            <w:r w:rsidRPr="00A53E20">
                              <w:rPr>
                                <w:color w:val="595959"/>
                                <w:sz w:val="18"/>
                              </w:rPr>
                              <w:t xml:space="preserve"> </w:t>
                            </w:r>
                            <w:r>
                              <w:rPr>
                                <w:color w:val="595959"/>
                                <w:sz w:val="18"/>
                              </w:rPr>
                              <w:t>Exceptionally, a</w:t>
                            </w:r>
                            <w:r w:rsidRPr="00B23708">
                              <w:rPr>
                                <w:color w:val="595959"/>
                                <w:sz w:val="18"/>
                              </w:rPr>
                              <w:t xml:space="preserve"> grant </w:t>
                            </w:r>
                            <w:r>
                              <w:rPr>
                                <w:color w:val="595959"/>
                                <w:sz w:val="18"/>
                              </w:rPr>
                              <w:t>may be awarded</w:t>
                            </w:r>
                            <w:r w:rsidRPr="00B23708">
                              <w:rPr>
                                <w:color w:val="595959"/>
                                <w:sz w:val="18"/>
                              </w:rPr>
                              <w:t xml:space="preserve"> </w:t>
                            </w:r>
                            <w:r>
                              <w:rPr>
                                <w:color w:val="595959"/>
                                <w:sz w:val="18"/>
                              </w:rPr>
                              <w:t>to legal entities explicitly</w:t>
                            </w:r>
                            <w:r w:rsidRPr="00B23708">
                              <w:rPr>
                                <w:color w:val="595959"/>
                                <w:sz w:val="18"/>
                              </w:rPr>
                              <w:t xml:space="preserve"> named in the work programme without a prior call for proposals. </w:t>
                            </w:r>
                            <w:r>
                              <w:rPr>
                                <w:color w:val="595959"/>
                                <w:sz w:val="18"/>
                              </w:rPr>
                              <w:t>The identified beneficiaries</w:t>
                            </w:r>
                            <w:r w:rsidRPr="00B23708">
                              <w:rPr>
                                <w:color w:val="595959"/>
                                <w:sz w:val="18"/>
                              </w:rPr>
                              <w:t xml:space="preserve"> must nevertheless submit a proposal to benefit from funding. This proposal</w:t>
                            </w:r>
                            <w:r>
                              <w:rPr>
                                <w:color w:val="595959"/>
                                <w:sz w:val="18"/>
                              </w:rPr>
                              <w:t xml:space="preserve"> will</w:t>
                            </w:r>
                            <w:r w:rsidRPr="00B23708">
                              <w:rPr>
                                <w:color w:val="595959"/>
                                <w:sz w:val="18"/>
                              </w:rPr>
                              <w:t xml:space="preserve"> be evaluated and </w:t>
                            </w:r>
                            <w:r>
                              <w:rPr>
                                <w:color w:val="595959"/>
                                <w:sz w:val="18"/>
                              </w:rPr>
                              <w:t xml:space="preserve">must </w:t>
                            </w:r>
                            <w:r w:rsidRPr="00B23708">
                              <w:rPr>
                                <w:color w:val="595959"/>
                                <w:sz w:val="18"/>
                              </w:rPr>
                              <w:t xml:space="preserve">exceed the required threshold. The funding rates </w:t>
                            </w:r>
                            <w:r>
                              <w:rPr>
                                <w:color w:val="595959"/>
                                <w:sz w:val="18"/>
                              </w:rPr>
                              <w:t xml:space="preserve">will </w:t>
                            </w:r>
                            <w:r w:rsidRPr="00B23708">
                              <w:rPr>
                                <w:color w:val="595959"/>
                                <w:sz w:val="18"/>
                              </w:rPr>
                              <w:t>correspond to the type of action indicated.</w:t>
                            </w:r>
                          </w:p>
                          <w:p w14:paraId="0E8F6B75" w14:textId="4608AF5B" w:rsidR="004746B1" w:rsidRPr="002E662E" w:rsidRDefault="004746B1" w:rsidP="003E2FE6">
                            <w:pPr>
                              <w:numPr>
                                <w:ilvl w:val="0"/>
                                <w:numId w:val="11"/>
                              </w:numPr>
                              <w:spacing w:line="240" w:lineRule="auto"/>
                              <w:ind w:left="480" w:right="79"/>
                              <w:rPr>
                                <w:rFonts w:cs="Arial"/>
                                <w:color w:val="595959"/>
                                <w:sz w:val="18"/>
                              </w:rPr>
                            </w:pPr>
                            <w:r>
                              <w:rPr>
                                <w:rFonts w:cs="Arial"/>
                                <w:b/>
                                <w:color w:val="595959"/>
                                <w:sz w:val="18"/>
                              </w:rPr>
                              <w:t xml:space="preserve">Prizes </w:t>
                            </w:r>
                            <w:r w:rsidRPr="00C270C0">
                              <w:rPr>
                                <w:rFonts w:cs="Arial"/>
                                <w:b/>
                                <w:color w:val="595959"/>
                                <w:sz w:val="18"/>
                              </w:rPr>
                              <w:t xml:space="preserve">— </w:t>
                            </w:r>
                            <w:r w:rsidRPr="002E662E">
                              <w:rPr>
                                <w:rFonts w:cs="Arial"/>
                                <w:i/>
                                <w:color w:val="595959"/>
                                <w:sz w:val="18"/>
                              </w:rPr>
                              <w:t>Inducement prizes</w:t>
                            </w:r>
                            <w:r w:rsidRPr="002E662E">
                              <w:rPr>
                                <w:rFonts w:cs="Arial"/>
                                <w:color w:val="595959"/>
                                <w:sz w:val="18"/>
                              </w:rPr>
                              <w:t xml:space="preserve">: a prize to stimulate investment in a given area, by specifying a goal prior to the </w:t>
                            </w:r>
                            <w:r>
                              <w:rPr>
                                <w:rFonts w:cs="Arial"/>
                                <w:color w:val="595959"/>
                                <w:sz w:val="18"/>
                              </w:rPr>
                              <w:t xml:space="preserve">work being </w:t>
                            </w:r>
                            <w:r w:rsidRPr="002E662E">
                              <w:rPr>
                                <w:rFonts w:cs="Arial"/>
                                <w:color w:val="595959"/>
                                <w:sz w:val="18"/>
                              </w:rPr>
                              <w:t>perform</w:t>
                            </w:r>
                            <w:r>
                              <w:rPr>
                                <w:rFonts w:cs="Arial"/>
                                <w:color w:val="595959"/>
                                <w:sz w:val="18"/>
                              </w:rPr>
                              <w:t>ed</w:t>
                            </w:r>
                            <w:r w:rsidRPr="002E662E">
                              <w:rPr>
                                <w:rFonts w:cs="Arial"/>
                                <w:color w:val="595959"/>
                                <w:sz w:val="18"/>
                              </w:rPr>
                              <w:t>. Contests for inducement prizes must address technological and/or societal challenges. The award criteria will define a goal, but without prescribing how to achieve it. Contests for inducement prizes are split into</w:t>
                            </w:r>
                            <w:r>
                              <w:rPr>
                                <w:rFonts w:cs="Arial"/>
                                <w:color w:val="595959"/>
                                <w:sz w:val="18"/>
                              </w:rPr>
                              <w:t xml:space="preserve"> a</w:t>
                            </w:r>
                            <w:r w:rsidRPr="002E662E">
                              <w:rPr>
                                <w:rFonts w:cs="Arial"/>
                                <w:color w:val="595959"/>
                                <w:sz w:val="18"/>
                              </w:rPr>
                              <w:t>ward</w:t>
                            </w:r>
                            <w:r>
                              <w:rPr>
                                <w:rFonts w:cs="Arial"/>
                                <w:color w:val="595959"/>
                                <w:sz w:val="18"/>
                              </w:rPr>
                              <w:t>s</w:t>
                            </w:r>
                            <w:r w:rsidRPr="002E662E">
                              <w:rPr>
                                <w:rFonts w:cs="Arial"/>
                                <w:color w:val="595959"/>
                                <w:sz w:val="18"/>
                              </w:rPr>
                              <w:t xml:space="preserve"> </w:t>
                            </w:r>
                            <w:r>
                              <w:rPr>
                                <w:rFonts w:cs="Arial"/>
                                <w:color w:val="595959"/>
                                <w:sz w:val="18"/>
                              </w:rPr>
                              <w:t>for</w:t>
                            </w:r>
                            <w:r w:rsidRPr="002E662E">
                              <w:rPr>
                                <w:rFonts w:cs="Arial"/>
                                <w:color w:val="595959"/>
                                <w:sz w:val="18"/>
                              </w:rPr>
                              <w:t xml:space="preserve"> the contestant that first meets the specific goal defined in the </w:t>
                            </w:r>
                            <w:r>
                              <w:rPr>
                                <w:rFonts w:cs="Arial"/>
                                <w:color w:val="595959"/>
                                <w:sz w:val="18"/>
                              </w:rPr>
                              <w:t xml:space="preserve">rules of the </w:t>
                            </w:r>
                            <w:r w:rsidRPr="002E662E">
                              <w:rPr>
                                <w:rFonts w:cs="Arial"/>
                                <w:color w:val="595959"/>
                                <w:sz w:val="18"/>
                              </w:rPr>
                              <w:t>contest</w:t>
                            </w:r>
                            <w:r>
                              <w:rPr>
                                <w:rFonts w:cs="Arial"/>
                                <w:color w:val="595959"/>
                                <w:sz w:val="18"/>
                              </w:rPr>
                              <w:t>, and</w:t>
                            </w:r>
                            <w:r w:rsidRPr="002E662E">
                              <w:rPr>
                                <w:rFonts w:cs="Arial"/>
                                <w:color w:val="595959"/>
                                <w:sz w:val="18"/>
                              </w:rPr>
                              <w:t xml:space="preserve"> </w:t>
                            </w:r>
                            <w:r>
                              <w:rPr>
                                <w:rFonts w:cs="Arial"/>
                                <w:color w:val="595959"/>
                                <w:sz w:val="18"/>
                              </w:rPr>
                              <w:t>a</w:t>
                            </w:r>
                            <w:r w:rsidRPr="002E662E">
                              <w:rPr>
                                <w:rFonts w:cs="Arial"/>
                                <w:color w:val="595959"/>
                                <w:sz w:val="18"/>
                              </w:rPr>
                              <w:t>ward</w:t>
                            </w:r>
                            <w:r>
                              <w:rPr>
                                <w:rFonts w:cs="Arial"/>
                                <w:color w:val="595959"/>
                                <w:sz w:val="18"/>
                              </w:rPr>
                              <w:t>s</w:t>
                            </w:r>
                            <w:r w:rsidRPr="002E662E">
                              <w:rPr>
                                <w:rFonts w:cs="Arial"/>
                                <w:color w:val="595959"/>
                                <w:sz w:val="18"/>
                              </w:rPr>
                              <w:t xml:space="preserve"> </w:t>
                            </w:r>
                            <w:r>
                              <w:rPr>
                                <w:rFonts w:cs="Arial"/>
                                <w:color w:val="595959"/>
                                <w:sz w:val="18"/>
                              </w:rPr>
                              <w:t>for</w:t>
                            </w:r>
                            <w:r w:rsidRPr="002E662E">
                              <w:rPr>
                                <w:rFonts w:cs="Arial"/>
                                <w:color w:val="595959"/>
                                <w:sz w:val="18"/>
                              </w:rPr>
                              <w:t xml:space="preserve"> the best contestant within a given period</w:t>
                            </w:r>
                            <w:r>
                              <w:rPr>
                                <w:rFonts w:cs="Arial"/>
                                <w:color w:val="595959"/>
                                <w:sz w:val="18"/>
                              </w:rPr>
                              <w:t xml:space="preserve">. </w:t>
                            </w:r>
                            <w:r w:rsidRPr="002E662E">
                              <w:rPr>
                                <w:rFonts w:cs="Arial"/>
                                <w:i/>
                                <w:color w:val="595959"/>
                                <w:sz w:val="18"/>
                              </w:rPr>
                              <w:t>Recognition prizes</w:t>
                            </w:r>
                            <w:r w:rsidRPr="002E662E">
                              <w:rPr>
                                <w:rFonts w:cs="Arial"/>
                                <w:color w:val="595959"/>
                                <w:sz w:val="18"/>
                              </w:rPr>
                              <w:t xml:space="preserve">: a prize to reward past achievements and outstanding work after it has been performed. Recognition prizes must </w:t>
                            </w:r>
                            <w:r>
                              <w:rPr>
                                <w:rFonts w:cs="Arial"/>
                                <w:color w:val="595959"/>
                                <w:sz w:val="18"/>
                              </w:rPr>
                              <w:t>help</w:t>
                            </w:r>
                            <w:r w:rsidRPr="002E662E">
                              <w:rPr>
                                <w:rFonts w:cs="Arial"/>
                                <w:color w:val="595959"/>
                                <w:sz w:val="18"/>
                              </w:rPr>
                              <w:t xml:space="preserve"> to raise public awareness of EU policies, create role models and support best</w:t>
                            </w:r>
                            <w:r>
                              <w:rPr>
                                <w:rFonts w:cs="Arial"/>
                                <w:color w:val="595959"/>
                                <w:sz w:val="18"/>
                              </w:rPr>
                              <w:t xml:space="preserve"> </w:t>
                            </w:r>
                            <w:r w:rsidRPr="002E662E">
                              <w:rPr>
                                <w:rFonts w:cs="Arial"/>
                                <w:color w:val="595959"/>
                                <w:sz w:val="18"/>
                              </w:rPr>
                              <w:t xml:space="preserve">practice exchange. The </w:t>
                            </w:r>
                            <w:r>
                              <w:rPr>
                                <w:rFonts w:cs="Arial"/>
                                <w:color w:val="595959"/>
                                <w:sz w:val="18"/>
                              </w:rPr>
                              <w:t>r</w:t>
                            </w:r>
                            <w:r w:rsidRPr="002E662E">
                              <w:rPr>
                                <w:rFonts w:cs="Arial"/>
                                <w:color w:val="595959"/>
                                <w:sz w:val="18"/>
                              </w:rPr>
                              <w:t xml:space="preserve">ules of the </w:t>
                            </w:r>
                            <w:r>
                              <w:rPr>
                                <w:rFonts w:cs="Arial"/>
                                <w:color w:val="595959"/>
                                <w:sz w:val="18"/>
                              </w:rPr>
                              <w:t>c</w:t>
                            </w:r>
                            <w:r w:rsidRPr="002E662E">
                              <w:rPr>
                                <w:rFonts w:cs="Arial"/>
                                <w:color w:val="595959"/>
                                <w:sz w:val="18"/>
                              </w:rPr>
                              <w:t>ontest of a specific prize describe the eligibility and award criteria, the evaluation procedure, the indicat</w:t>
                            </w:r>
                            <w:r>
                              <w:rPr>
                                <w:rFonts w:cs="Arial"/>
                                <w:color w:val="595959"/>
                                <w:sz w:val="18"/>
                              </w:rPr>
                              <w:t>iv</w:t>
                            </w:r>
                            <w:r w:rsidRPr="002E662E">
                              <w:rPr>
                                <w:rFonts w:cs="Arial"/>
                                <w:color w:val="595959"/>
                                <w:sz w:val="18"/>
                              </w:rPr>
                              <w:t xml:space="preserve">e timetable and the reward. The </w:t>
                            </w:r>
                            <w:r>
                              <w:rPr>
                                <w:rFonts w:cs="Arial"/>
                                <w:color w:val="595959"/>
                                <w:sz w:val="18"/>
                              </w:rPr>
                              <w:t>rules are</w:t>
                            </w:r>
                            <w:r w:rsidRPr="002E662E">
                              <w:rPr>
                                <w:rFonts w:cs="Arial"/>
                                <w:color w:val="595959"/>
                                <w:sz w:val="18"/>
                              </w:rPr>
                              <w:t xml:space="preserve"> found </w:t>
                            </w:r>
                            <w:r>
                              <w:rPr>
                                <w:rFonts w:cs="Arial"/>
                                <w:color w:val="595959"/>
                                <w:sz w:val="18"/>
                              </w:rPr>
                              <w:t>on</w:t>
                            </w:r>
                            <w:r w:rsidRPr="002E662E">
                              <w:rPr>
                                <w:rFonts w:cs="Arial"/>
                                <w:color w:val="595959"/>
                                <w:sz w:val="18"/>
                              </w:rPr>
                              <w:t xml:space="preserve"> the call topic page on the </w:t>
                            </w:r>
                            <w:r>
                              <w:rPr>
                                <w:rFonts w:cs="Arial"/>
                                <w:color w:val="595959"/>
                                <w:sz w:val="18"/>
                              </w:rPr>
                              <w:t xml:space="preserve">Funding &amp; Tenders </w:t>
                            </w:r>
                            <w:r w:rsidRPr="002E662E">
                              <w:rPr>
                                <w:rFonts w:cs="Arial"/>
                                <w:color w:val="595959"/>
                                <w:sz w:val="18"/>
                              </w:rPr>
                              <w:t>Portal.</w:t>
                            </w:r>
                          </w:p>
                          <w:p w14:paraId="2F1A1DFA" w14:textId="5AF8482E" w:rsidR="004746B1" w:rsidRPr="00C270C0" w:rsidRDefault="004746B1" w:rsidP="003E2FE6">
                            <w:pPr>
                              <w:numPr>
                                <w:ilvl w:val="0"/>
                                <w:numId w:val="11"/>
                              </w:numPr>
                              <w:spacing w:line="240" w:lineRule="auto"/>
                              <w:ind w:left="480" w:right="79"/>
                              <w:rPr>
                                <w:rFonts w:cs="Arial"/>
                                <w:color w:val="595959"/>
                                <w:sz w:val="18"/>
                                <w:szCs w:val="18"/>
                              </w:rPr>
                            </w:pPr>
                            <w:r w:rsidRPr="00C270C0">
                              <w:rPr>
                                <w:rFonts w:cs="Arial"/>
                                <w:b/>
                                <w:color w:val="595959"/>
                                <w:sz w:val="18"/>
                                <w:szCs w:val="18"/>
                              </w:rPr>
                              <w:t xml:space="preserve">Framework partnerships and specific grant agreements </w:t>
                            </w:r>
                            <w:r w:rsidRPr="006010BA">
                              <w:rPr>
                                <w:rFonts w:eastAsia="Calibri"/>
                                <w:b/>
                                <w:color w:val="595959"/>
                                <w:sz w:val="18"/>
                                <w:szCs w:val="18"/>
                              </w:rPr>
                              <w:t>—</w:t>
                            </w:r>
                            <w:r>
                              <w:rPr>
                                <w:rFonts w:eastAsia="Calibri"/>
                                <w:b/>
                                <w:color w:val="595959"/>
                                <w:sz w:val="18"/>
                                <w:szCs w:val="18"/>
                              </w:rPr>
                              <w:t xml:space="preserve"> </w:t>
                            </w:r>
                            <w:r w:rsidRPr="00C270C0">
                              <w:rPr>
                                <w:rFonts w:cs="Arial"/>
                                <w:color w:val="595959"/>
                                <w:sz w:val="18"/>
                                <w:szCs w:val="18"/>
                              </w:rPr>
                              <w:t xml:space="preserve">Framework partnerships are </w:t>
                            </w:r>
                            <w:r>
                              <w:rPr>
                                <w:rFonts w:cs="Arial"/>
                                <w:color w:val="595959"/>
                                <w:sz w:val="18"/>
                                <w:szCs w:val="18"/>
                              </w:rPr>
                              <w:t xml:space="preserve">formalised </w:t>
                            </w:r>
                            <w:r w:rsidRPr="00C270C0">
                              <w:rPr>
                                <w:rFonts w:cs="Arial"/>
                                <w:color w:val="595959"/>
                                <w:sz w:val="18"/>
                                <w:szCs w:val="18"/>
                              </w:rPr>
                              <w:t xml:space="preserve">long-term cooperation mechanisms </w:t>
                            </w:r>
                            <w:r>
                              <w:rPr>
                                <w:rFonts w:cs="Arial"/>
                                <w:color w:val="595959"/>
                                <w:sz w:val="18"/>
                                <w:szCs w:val="18"/>
                              </w:rPr>
                              <w:t>involving several or</w:t>
                            </w:r>
                            <w:r w:rsidRPr="00C270C0">
                              <w:rPr>
                                <w:rFonts w:cs="Arial"/>
                                <w:color w:val="595959"/>
                                <w:sz w:val="18"/>
                                <w:szCs w:val="18"/>
                              </w:rPr>
                              <w:t xml:space="preserve"> recurring grants. They </w:t>
                            </w:r>
                            <w:r>
                              <w:rPr>
                                <w:rFonts w:cs="Arial"/>
                                <w:color w:val="595959"/>
                                <w:sz w:val="18"/>
                                <w:szCs w:val="18"/>
                              </w:rPr>
                              <w:t>must be</w:t>
                            </w:r>
                            <w:r w:rsidRPr="00C270C0">
                              <w:rPr>
                                <w:rFonts w:cs="Arial"/>
                                <w:color w:val="595959"/>
                                <w:sz w:val="18"/>
                                <w:szCs w:val="18"/>
                              </w:rPr>
                              <w:t xml:space="preserve"> based on jointly agreed action plans and agreements that set out the terms and conditions for receiving grants to implement the actions, framework partnership agreements (FPA) and specific grant agreements (SGA). The FPA </w:t>
                            </w:r>
                            <w:r>
                              <w:rPr>
                                <w:rFonts w:cs="Arial"/>
                                <w:color w:val="595959"/>
                                <w:sz w:val="18"/>
                                <w:szCs w:val="18"/>
                              </w:rPr>
                              <w:t>will set</w:t>
                            </w:r>
                            <w:r w:rsidRPr="00C270C0">
                              <w:rPr>
                                <w:rFonts w:cs="Arial"/>
                                <w:color w:val="595959"/>
                                <w:sz w:val="18"/>
                                <w:szCs w:val="18"/>
                              </w:rPr>
                              <w:t xml:space="preserve"> out the framework conditions governing potential grants to beneficiaries on the basis of an action plan and jointly agreed general objectives. The SGA </w:t>
                            </w:r>
                            <w:r>
                              <w:rPr>
                                <w:rFonts w:cs="Arial"/>
                                <w:color w:val="595959"/>
                                <w:sz w:val="18"/>
                                <w:szCs w:val="18"/>
                              </w:rPr>
                              <w:t>will set</w:t>
                            </w:r>
                            <w:r w:rsidRPr="00C270C0">
                              <w:rPr>
                                <w:rFonts w:cs="Arial"/>
                                <w:color w:val="595959"/>
                                <w:sz w:val="18"/>
                                <w:szCs w:val="18"/>
                              </w:rPr>
                              <w:t xml:space="preserve"> out the specific obligations and conditions to implement the specific action.</w:t>
                            </w:r>
                            <w:r>
                              <w:rPr>
                                <w:rFonts w:cs="Arial"/>
                                <w:color w:val="595959"/>
                                <w:sz w:val="18"/>
                                <w:szCs w:val="18"/>
                              </w:rPr>
                              <w:t xml:space="preserve"> </w:t>
                            </w:r>
                            <w:r w:rsidRPr="00C270C0">
                              <w:rPr>
                                <w:rFonts w:cs="Arial"/>
                                <w:color w:val="595959"/>
                                <w:sz w:val="18"/>
                                <w:szCs w:val="18"/>
                              </w:rPr>
                              <w:t xml:space="preserve">The FPA </w:t>
                            </w:r>
                            <w:r>
                              <w:rPr>
                                <w:rFonts w:cs="Arial"/>
                                <w:color w:val="595959"/>
                                <w:sz w:val="18"/>
                                <w:szCs w:val="18"/>
                              </w:rPr>
                              <w:t>will have</w:t>
                            </w:r>
                            <w:r w:rsidRPr="00C270C0">
                              <w:rPr>
                                <w:rFonts w:cs="Arial"/>
                                <w:color w:val="595959"/>
                                <w:sz w:val="18"/>
                                <w:szCs w:val="18"/>
                              </w:rPr>
                              <w:t xml:space="preserve"> no budget; the budget and rules on funding </w:t>
                            </w:r>
                            <w:r>
                              <w:rPr>
                                <w:rFonts w:cs="Arial"/>
                                <w:color w:val="595959"/>
                                <w:sz w:val="18"/>
                                <w:szCs w:val="18"/>
                              </w:rPr>
                              <w:t>will be</w:t>
                            </w:r>
                            <w:r w:rsidRPr="00C270C0">
                              <w:rPr>
                                <w:rFonts w:cs="Arial"/>
                                <w:color w:val="595959"/>
                                <w:sz w:val="18"/>
                                <w:szCs w:val="18"/>
                              </w:rPr>
                              <w:t xml:space="preserve"> set out in each SGA and depend on the specific type of action. The establishment of an FPA </w:t>
                            </w:r>
                            <w:r>
                              <w:rPr>
                                <w:rFonts w:cs="Arial"/>
                                <w:color w:val="595959"/>
                                <w:sz w:val="18"/>
                                <w:szCs w:val="18"/>
                              </w:rPr>
                              <w:t>must take</w:t>
                            </w:r>
                            <w:r w:rsidRPr="00C270C0">
                              <w:rPr>
                                <w:rFonts w:cs="Arial"/>
                                <w:color w:val="595959"/>
                                <w:sz w:val="18"/>
                                <w:szCs w:val="18"/>
                              </w:rPr>
                              <w:t xml:space="preserve"> place following a call for proposals. Beneficiaries </w:t>
                            </w:r>
                            <w:r>
                              <w:rPr>
                                <w:rFonts w:cs="Arial"/>
                                <w:color w:val="595959"/>
                                <w:sz w:val="18"/>
                                <w:szCs w:val="18"/>
                              </w:rPr>
                              <w:t>will be</w:t>
                            </w:r>
                            <w:r w:rsidRPr="00C270C0">
                              <w:rPr>
                                <w:rFonts w:cs="Arial"/>
                                <w:color w:val="595959"/>
                                <w:sz w:val="18"/>
                                <w:szCs w:val="18"/>
                              </w:rPr>
                              <w:t xml:space="preserve"> identified </w:t>
                            </w:r>
                            <w:r>
                              <w:rPr>
                                <w:rFonts w:cs="Arial"/>
                                <w:color w:val="595959"/>
                                <w:sz w:val="18"/>
                                <w:szCs w:val="18"/>
                              </w:rPr>
                              <w:t>from</w:t>
                            </w:r>
                            <w:r w:rsidRPr="00C270C0">
                              <w:rPr>
                                <w:rFonts w:cs="Arial"/>
                                <w:color w:val="595959"/>
                                <w:sz w:val="18"/>
                                <w:szCs w:val="18"/>
                              </w:rPr>
                              <w:t xml:space="preserve"> the evaluation of the proposals. In a subsequent step, beneficiaries </w:t>
                            </w:r>
                            <w:r>
                              <w:rPr>
                                <w:rFonts w:cs="Arial"/>
                                <w:color w:val="595959"/>
                                <w:sz w:val="18"/>
                                <w:szCs w:val="18"/>
                              </w:rPr>
                              <w:t>may be</w:t>
                            </w:r>
                            <w:r w:rsidRPr="00C270C0">
                              <w:rPr>
                                <w:rFonts w:cs="Arial"/>
                                <w:color w:val="595959"/>
                                <w:sz w:val="18"/>
                                <w:szCs w:val="18"/>
                              </w:rPr>
                              <w:t xml:space="preserve"> invited to submit their proposals for the SGA.</w:t>
                            </w:r>
                            <w:r>
                              <w:rPr>
                                <w:rFonts w:cs="Arial"/>
                                <w:color w:val="595959"/>
                                <w:sz w:val="18"/>
                                <w:szCs w:val="18"/>
                              </w:rPr>
                              <w:t xml:space="preserve"> </w:t>
                            </w:r>
                            <w:r w:rsidRPr="00C270C0">
                              <w:rPr>
                                <w:rFonts w:cs="Arial"/>
                                <w:color w:val="595959"/>
                                <w:sz w:val="18"/>
                                <w:szCs w:val="18"/>
                              </w:rPr>
                              <w:t xml:space="preserve">Framework partnerships do not give the partners (i.e. potential beneficiaries) exclusive rights to be awarded the grants covered by the </w:t>
                            </w:r>
                            <w:r>
                              <w:rPr>
                                <w:rFonts w:cs="Arial"/>
                                <w:color w:val="595959"/>
                                <w:sz w:val="18"/>
                                <w:szCs w:val="18"/>
                              </w:rPr>
                              <w:t>FPAs</w:t>
                            </w:r>
                            <w:r w:rsidRPr="00C270C0">
                              <w:rPr>
                                <w:rFonts w:cs="Arial"/>
                                <w:color w:val="595959"/>
                                <w:sz w:val="18"/>
                                <w:szCs w:val="18"/>
                              </w:rPr>
                              <w:t xml:space="preserve">. SGAs </w:t>
                            </w:r>
                            <w:r>
                              <w:rPr>
                                <w:rFonts w:cs="Arial"/>
                                <w:color w:val="595959"/>
                                <w:sz w:val="18"/>
                                <w:szCs w:val="18"/>
                              </w:rPr>
                              <w:t>must</w:t>
                            </w:r>
                            <w:r w:rsidRPr="00C270C0">
                              <w:rPr>
                                <w:rFonts w:cs="Arial"/>
                                <w:color w:val="595959"/>
                                <w:sz w:val="18"/>
                                <w:szCs w:val="18"/>
                              </w:rPr>
                              <w:t xml:space="preserve"> only be signed if the FPA has been signed, and before the end date of the FPA.</w:t>
                            </w:r>
                          </w:p>
                          <w:p w14:paraId="17FCDBAF" w14:textId="781C45F1" w:rsidR="004746B1" w:rsidRDefault="004746B1" w:rsidP="003E2FE6">
                            <w:pPr>
                              <w:numPr>
                                <w:ilvl w:val="0"/>
                                <w:numId w:val="11"/>
                              </w:numPr>
                              <w:spacing w:line="240" w:lineRule="auto"/>
                              <w:ind w:left="480" w:right="79"/>
                              <w:rPr>
                                <w:rFonts w:cs="Arial"/>
                                <w:color w:val="595959"/>
                                <w:sz w:val="18"/>
                                <w:szCs w:val="18"/>
                              </w:rPr>
                            </w:pPr>
                            <w:r w:rsidRPr="00C270C0">
                              <w:rPr>
                                <w:b/>
                                <w:color w:val="595959"/>
                                <w:sz w:val="18"/>
                                <w:szCs w:val="18"/>
                              </w:rPr>
                              <w:t>Operating grants</w:t>
                            </w:r>
                            <w:r w:rsidRPr="00C270C0">
                              <w:rPr>
                                <w:rFonts w:cs="Arial"/>
                                <w:color w:val="595959"/>
                                <w:sz w:val="18"/>
                              </w:rPr>
                              <w:t xml:space="preserve"> </w:t>
                            </w:r>
                            <w:r w:rsidRPr="00C270C0">
                              <w:rPr>
                                <w:rFonts w:eastAsia="Calibri"/>
                                <w:b/>
                                <w:color w:val="595959"/>
                                <w:sz w:val="18"/>
                                <w:szCs w:val="18"/>
                              </w:rPr>
                              <w:t xml:space="preserve">— </w:t>
                            </w:r>
                            <w:r w:rsidRPr="00C270C0">
                              <w:rPr>
                                <w:rFonts w:cs="Arial"/>
                                <w:color w:val="595959"/>
                                <w:sz w:val="18"/>
                              </w:rPr>
                              <w:t>Operating grants provide financial support for the functioning of a body to enable it to carry out specific activities set out in the agreed work programme. Operating grants do not support the implementation of a specific action</w:t>
                            </w:r>
                            <w:r>
                              <w:rPr>
                                <w:rFonts w:cs="Arial"/>
                                <w:color w:val="595959"/>
                                <w:sz w:val="18"/>
                              </w:rPr>
                              <w:t>,</w:t>
                            </w:r>
                            <w:r w:rsidRPr="00C270C0">
                              <w:rPr>
                                <w:rFonts w:cs="Arial"/>
                                <w:color w:val="595959"/>
                                <w:sz w:val="18"/>
                              </w:rPr>
                              <w:t xml:space="preserve"> but </w:t>
                            </w:r>
                            <w:r>
                              <w:rPr>
                                <w:rFonts w:cs="Arial"/>
                                <w:color w:val="595959"/>
                                <w:sz w:val="18"/>
                              </w:rPr>
                              <w:t xml:space="preserve">rather </w:t>
                            </w:r>
                            <w:r w:rsidRPr="00C270C0">
                              <w:rPr>
                                <w:rFonts w:cs="Arial"/>
                                <w:color w:val="595959"/>
                                <w:sz w:val="18"/>
                              </w:rPr>
                              <w:t xml:space="preserve">the annual operating budget (or part of it) for certain bodies whose statutory activities serve the strategic objectives of </w:t>
                            </w:r>
                            <w:r>
                              <w:rPr>
                                <w:rFonts w:cs="Arial"/>
                                <w:color w:val="595959"/>
                                <w:sz w:val="18"/>
                              </w:rPr>
                              <w:t>E</w:t>
                            </w:r>
                            <w:r w:rsidRPr="00C270C0">
                              <w:rPr>
                                <w:rFonts w:cs="Arial"/>
                                <w:color w:val="595959"/>
                                <w:sz w:val="18"/>
                              </w:rPr>
                              <w:t xml:space="preserve">U policies. Operating grants </w:t>
                            </w:r>
                            <w:r>
                              <w:rPr>
                                <w:rFonts w:cs="Arial"/>
                                <w:color w:val="595959"/>
                                <w:sz w:val="18"/>
                              </w:rPr>
                              <w:t>will</w:t>
                            </w:r>
                            <w:r w:rsidRPr="00C270C0">
                              <w:rPr>
                                <w:rFonts w:cs="Arial"/>
                                <w:color w:val="595959"/>
                                <w:sz w:val="18"/>
                              </w:rPr>
                              <w:t xml:space="preserve"> always </w:t>
                            </w:r>
                            <w:r>
                              <w:rPr>
                                <w:rFonts w:cs="Arial"/>
                                <w:color w:val="595959"/>
                                <w:sz w:val="18"/>
                              </w:rPr>
                              <w:t xml:space="preserve">be </w:t>
                            </w:r>
                            <w:r w:rsidRPr="00C270C0">
                              <w:rPr>
                                <w:rFonts w:cs="Arial"/>
                                <w:color w:val="595959"/>
                                <w:sz w:val="18"/>
                              </w:rPr>
                              <w:t>mono-beneficiary grants supporting the work programme of only one organisation.</w:t>
                            </w:r>
                            <w:r>
                              <w:rPr>
                                <w:rFonts w:cs="Arial"/>
                                <w:color w:val="595959"/>
                                <w:sz w:val="18"/>
                              </w:rPr>
                              <w:t xml:space="preserve"> </w:t>
                            </w:r>
                            <w:r w:rsidRPr="00C270C0">
                              <w:rPr>
                                <w:rFonts w:cs="Arial"/>
                                <w:color w:val="595959"/>
                                <w:sz w:val="18"/>
                              </w:rPr>
                              <w:t xml:space="preserve">Operating grants </w:t>
                            </w:r>
                            <w:r>
                              <w:rPr>
                                <w:rFonts w:cs="Arial"/>
                                <w:color w:val="595959"/>
                                <w:sz w:val="18"/>
                              </w:rPr>
                              <w:t xml:space="preserve">must </w:t>
                            </w:r>
                            <w:r w:rsidRPr="00C270C0">
                              <w:rPr>
                                <w:rFonts w:cs="Arial"/>
                                <w:color w:val="595959"/>
                                <w:sz w:val="18"/>
                              </w:rPr>
                              <w:t>follow the same rules as described in section G</w:t>
                            </w:r>
                            <w:r>
                              <w:rPr>
                                <w:rFonts w:cs="Arial"/>
                                <w:color w:val="595959"/>
                                <w:sz w:val="18"/>
                              </w:rPr>
                              <w:t>,</w:t>
                            </w:r>
                            <w:r w:rsidRPr="00C270C0">
                              <w:rPr>
                                <w:rFonts w:cs="Arial"/>
                                <w:color w:val="595959"/>
                                <w:sz w:val="18"/>
                              </w:rPr>
                              <w:t xml:space="preserve"> but </w:t>
                            </w:r>
                            <w:r>
                              <w:rPr>
                                <w:rFonts w:cs="Arial"/>
                                <w:color w:val="595959"/>
                                <w:sz w:val="18"/>
                              </w:rPr>
                              <w:t xml:space="preserve">they </w:t>
                            </w:r>
                            <w:r w:rsidRPr="00C270C0">
                              <w:rPr>
                                <w:rFonts w:cs="Arial"/>
                                <w:color w:val="595959"/>
                                <w:sz w:val="18"/>
                              </w:rPr>
                              <w:t xml:space="preserve">do not differentiate between direct and indirect costs. Receiving an operating grant may make beneficiaries ineligible </w:t>
                            </w:r>
                            <w:r>
                              <w:rPr>
                                <w:rFonts w:cs="Arial"/>
                                <w:color w:val="595959"/>
                                <w:sz w:val="18"/>
                              </w:rPr>
                              <w:t>to</w:t>
                            </w:r>
                            <w:r w:rsidRPr="00C270C0">
                              <w:rPr>
                                <w:rFonts w:cs="Arial"/>
                                <w:color w:val="595959"/>
                                <w:sz w:val="18"/>
                              </w:rPr>
                              <w:t xml:space="preserve"> receiv</w:t>
                            </w:r>
                            <w:r>
                              <w:rPr>
                                <w:rFonts w:cs="Arial"/>
                                <w:color w:val="595959"/>
                                <w:sz w:val="18"/>
                              </w:rPr>
                              <w:t>e</w:t>
                            </w:r>
                            <w:r w:rsidRPr="00C270C0">
                              <w:rPr>
                                <w:rFonts w:cs="Arial"/>
                                <w:color w:val="595959"/>
                                <w:sz w:val="18"/>
                              </w:rPr>
                              <w:t xml:space="preserve"> indirect costs in all other EU action grants.</w:t>
                            </w:r>
                          </w:p>
                          <w:p w14:paraId="5A849693" w14:textId="6CF42522" w:rsidR="004746B1" w:rsidRDefault="004746B1" w:rsidP="003E2FE6">
                            <w:pPr>
                              <w:numPr>
                                <w:ilvl w:val="0"/>
                                <w:numId w:val="11"/>
                              </w:numPr>
                              <w:spacing w:line="240" w:lineRule="auto"/>
                              <w:ind w:left="480" w:right="79"/>
                              <w:rPr>
                                <w:rFonts w:cs="Arial"/>
                                <w:color w:val="595959"/>
                                <w:sz w:val="18"/>
                                <w:szCs w:val="18"/>
                              </w:rPr>
                            </w:pPr>
                            <w:r w:rsidRPr="00BF308E">
                              <w:rPr>
                                <w:rFonts w:cs="Arial"/>
                                <w:b/>
                                <w:color w:val="595959"/>
                                <w:sz w:val="18"/>
                                <w:szCs w:val="18"/>
                              </w:rPr>
                              <w:t>Public procurement</w:t>
                            </w:r>
                            <w:r w:rsidRPr="00BF308E">
                              <w:rPr>
                                <w:rFonts w:cs="Arial"/>
                                <w:color w:val="595959"/>
                                <w:sz w:val="18"/>
                                <w:szCs w:val="18"/>
                              </w:rPr>
                              <w:t xml:space="preserve"> </w:t>
                            </w:r>
                            <w:r w:rsidRPr="00BF308E">
                              <w:rPr>
                                <w:rFonts w:cs="Arial"/>
                                <w:b/>
                                <w:color w:val="595959"/>
                                <w:sz w:val="18"/>
                                <w:szCs w:val="18"/>
                              </w:rPr>
                              <w:t xml:space="preserve">— </w:t>
                            </w:r>
                            <w:r w:rsidRPr="00BF308E">
                              <w:rPr>
                                <w:rFonts w:cs="Arial"/>
                                <w:color w:val="595959"/>
                                <w:sz w:val="18"/>
                                <w:szCs w:val="18"/>
                              </w:rPr>
                              <w:t xml:space="preserve">In a public procurement action, the </w:t>
                            </w:r>
                            <w:r>
                              <w:rPr>
                                <w:rFonts w:cs="Arial"/>
                                <w:color w:val="595959"/>
                                <w:sz w:val="18"/>
                                <w:szCs w:val="18"/>
                              </w:rPr>
                              <w:t>granting authority</w:t>
                            </w:r>
                            <w:r w:rsidRPr="00BF308E">
                              <w:rPr>
                                <w:rFonts w:cs="Arial"/>
                                <w:color w:val="595959"/>
                                <w:sz w:val="18"/>
                                <w:szCs w:val="18"/>
                              </w:rPr>
                              <w:t xml:space="preserve"> purchases works, supplies or services, or acquire</w:t>
                            </w:r>
                            <w:r>
                              <w:rPr>
                                <w:rFonts w:cs="Arial"/>
                                <w:color w:val="595959"/>
                                <w:sz w:val="18"/>
                                <w:szCs w:val="18"/>
                              </w:rPr>
                              <w:t>s</w:t>
                            </w:r>
                            <w:r w:rsidRPr="00BF308E">
                              <w:rPr>
                                <w:rFonts w:cs="Arial"/>
                                <w:color w:val="595959"/>
                                <w:sz w:val="18"/>
                                <w:szCs w:val="18"/>
                              </w:rPr>
                              <w:t xml:space="preserve"> or rent</w:t>
                            </w:r>
                            <w:r>
                              <w:rPr>
                                <w:rFonts w:cs="Arial"/>
                                <w:color w:val="595959"/>
                                <w:sz w:val="18"/>
                                <w:szCs w:val="18"/>
                              </w:rPr>
                              <w:t>s</w:t>
                            </w:r>
                            <w:r w:rsidRPr="00BF308E">
                              <w:rPr>
                                <w:rFonts w:cs="Arial"/>
                                <w:color w:val="595959"/>
                                <w:sz w:val="18"/>
                                <w:szCs w:val="18"/>
                              </w:rPr>
                              <w:t xml:space="preserve"> land, buildings or other immovable property. This is done by entering into a contract with an economic operator chosen by</w:t>
                            </w:r>
                            <w:r>
                              <w:rPr>
                                <w:rFonts w:cs="Arial"/>
                                <w:color w:val="595959"/>
                                <w:sz w:val="18"/>
                                <w:szCs w:val="18"/>
                              </w:rPr>
                              <w:t xml:space="preserve"> the granting authority</w:t>
                            </w:r>
                            <w:r w:rsidRPr="00BF308E">
                              <w:rPr>
                                <w:rFonts w:cs="Arial"/>
                                <w:color w:val="595959"/>
                                <w:sz w:val="18"/>
                                <w:szCs w:val="18"/>
                              </w:rPr>
                              <w:t xml:space="preserve">. Before the </w:t>
                            </w:r>
                            <w:r w:rsidRPr="002E662E">
                              <w:rPr>
                                <w:rFonts w:cs="Arial"/>
                                <w:color w:val="595959"/>
                                <w:sz w:val="18"/>
                                <w:szCs w:val="18"/>
                              </w:rPr>
                              <w:t xml:space="preserve">granting authority </w:t>
                            </w:r>
                            <w:r w:rsidRPr="00BF308E">
                              <w:rPr>
                                <w:rFonts w:cs="Arial"/>
                                <w:color w:val="595959"/>
                                <w:sz w:val="18"/>
                                <w:szCs w:val="18"/>
                              </w:rPr>
                              <w:t xml:space="preserve">enters into a procurement contract, a call for tender is published on the </w:t>
                            </w:r>
                            <w:r>
                              <w:rPr>
                                <w:rFonts w:cs="Arial"/>
                                <w:color w:val="595959"/>
                                <w:sz w:val="18"/>
                                <w:szCs w:val="18"/>
                              </w:rPr>
                              <w:t xml:space="preserve">Funding &amp; Tenders </w:t>
                            </w:r>
                            <w:r w:rsidRPr="00BF308E">
                              <w:rPr>
                                <w:rFonts w:cs="Arial"/>
                                <w:color w:val="595959"/>
                                <w:sz w:val="18"/>
                                <w:szCs w:val="18"/>
                              </w:rPr>
                              <w:t>Portal.</w:t>
                            </w:r>
                          </w:p>
                          <w:p w14:paraId="2B91629D" w14:textId="27E5ABD4" w:rsidR="004746B1" w:rsidRDefault="004746B1" w:rsidP="003E2FE6">
                            <w:pPr>
                              <w:numPr>
                                <w:ilvl w:val="0"/>
                                <w:numId w:val="11"/>
                              </w:numPr>
                              <w:spacing w:line="240" w:lineRule="auto"/>
                              <w:ind w:left="480" w:right="79"/>
                              <w:rPr>
                                <w:rFonts w:cs="Arial"/>
                                <w:color w:val="595959"/>
                                <w:sz w:val="18"/>
                                <w:szCs w:val="18"/>
                              </w:rPr>
                            </w:pPr>
                            <w:r w:rsidRPr="00BF308E">
                              <w:rPr>
                                <w:rFonts w:cs="Arial"/>
                                <w:b/>
                                <w:color w:val="595959"/>
                                <w:sz w:val="18"/>
                                <w:szCs w:val="18"/>
                              </w:rPr>
                              <w:t>Expert contract actions —</w:t>
                            </w:r>
                            <w:r w:rsidRPr="00BF308E">
                              <w:rPr>
                                <w:rFonts w:cs="Arial"/>
                                <w:color w:val="595959"/>
                                <w:sz w:val="18"/>
                                <w:szCs w:val="18"/>
                              </w:rPr>
                              <w:t xml:space="preserve"> Expert contracts are used to appoint independent expert(s) to advise or assist us. Experts are used for evaluat</w:t>
                            </w:r>
                            <w:r>
                              <w:rPr>
                                <w:rFonts w:cs="Arial"/>
                                <w:color w:val="595959"/>
                                <w:sz w:val="18"/>
                                <w:szCs w:val="18"/>
                              </w:rPr>
                              <w:t>ing</w:t>
                            </w:r>
                            <w:r w:rsidRPr="00BF308E">
                              <w:rPr>
                                <w:rFonts w:cs="Arial"/>
                                <w:color w:val="595959"/>
                                <w:sz w:val="18"/>
                                <w:szCs w:val="18"/>
                              </w:rPr>
                              <w:t xml:space="preserve"> proposals, for evaluat</w:t>
                            </w:r>
                            <w:r>
                              <w:rPr>
                                <w:rFonts w:cs="Arial"/>
                                <w:color w:val="595959"/>
                                <w:sz w:val="18"/>
                                <w:szCs w:val="18"/>
                              </w:rPr>
                              <w:t>ing</w:t>
                            </w:r>
                            <w:r w:rsidRPr="00BF308E">
                              <w:rPr>
                                <w:rFonts w:cs="Arial"/>
                                <w:color w:val="595959"/>
                                <w:sz w:val="18"/>
                                <w:szCs w:val="18"/>
                              </w:rPr>
                              <w:t xml:space="preserve"> </w:t>
                            </w:r>
                            <w:r>
                              <w:rPr>
                                <w:rFonts w:cs="Arial"/>
                                <w:color w:val="595959"/>
                                <w:sz w:val="18"/>
                                <w:szCs w:val="18"/>
                              </w:rPr>
                              <w:t xml:space="preserve">the </w:t>
                            </w:r>
                            <w:r w:rsidRPr="00BF308E">
                              <w:rPr>
                                <w:rFonts w:cs="Arial"/>
                                <w:color w:val="595959"/>
                                <w:sz w:val="18"/>
                                <w:szCs w:val="18"/>
                              </w:rPr>
                              <w:t>programme, for ethics screenings and assessments, for advisory bodies, and for expertise related to the objectives of Horizon Europe.</w:t>
                            </w:r>
                            <w:r w:rsidRPr="00BF308E">
                              <w:rPr>
                                <w:rFonts w:cs="Arial"/>
                                <w:b/>
                                <w:color w:val="595959"/>
                                <w:sz w:val="18"/>
                                <w:szCs w:val="18"/>
                              </w:rPr>
                              <w:t xml:space="preserve"> </w:t>
                            </w:r>
                          </w:p>
                          <w:p w14:paraId="0380F961" w14:textId="77777777" w:rsidR="004746B1" w:rsidRDefault="004746B1" w:rsidP="003E2FE6">
                            <w:pPr>
                              <w:numPr>
                                <w:ilvl w:val="0"/>
                                <w:numId w:val="11"/>
                              </w:numPr>
                              <w:spacing w:line="240" w:lineRule="auto"/>
                              <w:ind w:left="480" w:right="79"/>
                              <w:rPr>
                                <w:rFonts w:cs="Arial"/>
                                <w:color w:val="595959"/>
                                <w:sz w:val="18"/>
                                <w:szCs w:val="18"/>
                              </w:rPr>
                            </w:pPr>
                            <w:r w:rsidRPr="00BF308E">
                              <w:rPr>
                                <w:rFonts w:cs="Arial"/>
                                <w:b/>
                                <w:color w:val="595959"/>
                                <w:sz w:val="18"/>
                                <w:szCs w:val="18"/>
                                <w:lang w:val="en-US"/>
                              </w:rPr>
                              <w:t>Subscription actions</w:t>
                            </w:r>
                            <w:r w:rsidRPr="00BF308E">
                              <w:rPr>
                                <w:rFonts w:cs="Arial"/>
                                <w:color w:val="595959"/>
                                <w:sz w:val="18"/>
                                <w:szCs w:val="18"/>
                                <w:lang w:val="en-US"/>
                              </w:rPr>
                              <w:t xml:space="preserve"> </w:t>
                            </w:r>
                            <w:r w:rsidRPr="00BF308E">
                              <w:rPr>
                                <w:rFonts w:cs="Arial"/>
                                <w:b/>
                                <w:color w:val="595959"/>
                                <w:sz w:val="18"/>
                                <w:szCs w:val="18"/>
                              </w:rPr>
                              <w:t>—</w:t>
                            </w:r>
                            <w:r w:rsidRPr="00BF308E">
                              <w:rPr>
                                <w:rFonts w:cs="Arial"/>
                                <w:color w:val="595959"/>
                                <w:sz w:val="18"/>
                                <w:szCs w:val="18"/>
                              </w:rPr>
                              <w:t xml:space="preserve"> Subscription actions are used to pay contributions to bodies in which the EU is a member or an observer.</w:t>
                            </w:r>
                          </w:p>
                          <w:p w14:paraId="05EBB7A3" w14:textId="3FD66A42" w:rsidR="004746B1" w:rsidRDefault="004746B1" w:rsidP="003E2FE6">
                            <w:pPr>
                              <w:numPr>
                                <w:ilvl w:val="0"/>
                                <w:numId w:val="11"/>
                              </w:numPr>
                              <w:spacing w:line="240" w:lineRule="auto"/>
                              <w:ind w:left="480" w:right="79"/>
                              <w:rPr>
                                <w:rFonts w:cs="Arial"/>
                                <w:color w:val="595959"/>
                                <w:sz w:val="18"/>
                                <w:szCs w:val="18"/>
                              </w:rPr>
                            </w:pPr>
                            <w:r w:rsidRPr="002E662E">
                              <w:rPr>
                                <w:rFonts w:cs="Arial"/>
                                <w:b/>
                                <w:color w:val="595959"/>
                                <w:sz w:val="18"/>
                                <w:szCs w:val="18"/>
                              </w:rPr>
                              <w:t>Scientific and technical services by the Joint Research Centre</w:t>
                            </w:r>
                            <w:r w:rsidRPr="002E662E">
                              <w:rPr>
                                <w:rFonts w:cs="Arial"/>
                                <w:color w:val="595959"/>
                                <w:sz w:val="18"/>
                                <w:szCs w:val="18"/>
                              </w:rPr>
                              <w:t xml:space="preserve"> — Scientific and technical services cover research and innovation activities undertaken by the Commission through its Joint Research Centre. These (non-nuclear) activities are direct actions generating high-quality scientific evidence to support efficient and affordable public policies. Horizon Europe</w:t>
                            </w:r>
                            <w:r>
                              <w:rPr>
                                <w:rFonts w:cs="Arial"/>
                                <w:color w:val="595959"/>
                                <w:sz w:val="18"/>
                                <w:szCs w:val="18"/>
                              </w:rPr>
                              <w:t>’s</w:t>
                            </w:r>
                            <w:r w:rsidRPr="002E662E">
                              <w:rPr>
                                <w:rFonts w:cs="Arial"/>
                                <w:color w:val="595959"/>
                                <w:sz w:val="18"/>
                                <w:szCs w:val="18"/>
                              </w:rPr>
                              <w:t xml:space="preserve"> </w:t>
                            </w:r>
                            <w:r>
                              <w:rPr>
                                <w:rFonts w:cs="Arial"/>
                                <w:color w:val="595959"/>
                                <w:sz w:val="18"/>
                                <w:szCs w:val="18"/>
                              </w:rPr>
                              <w:t>r</w:t>
                            </w:r>
                            <w:r w:rsidRPr="002E662E">
                              <w:rPr>
                                <w:rFonts w:cs="Arial"/>
                                <w:color w:val="595959"/>
                                <w:sz w:val="18"/>
                                <w:szCs w:val="18"/>
                              </w:rPr>
                              <w:t xml:space="preserve">ules for </w:t>
                            </w:r>
                            <w:r>
                              <w:rPr>
                                <w:rFonts w:cs="Arial"/>
                                <w:color w:val="595959"/>
                                <w:sz w:val="18"/>
                                <w:szCs w:val="18"/>
                              </w:rPr>
                              <w:t>p</w:t>
                            </w:r>
                            <w:r w:rsidRPr="002E662E">
                              <w:rPr>
                                <w:rFonts w:cs="Arial"/>
                                <w:color w:val="595959"/>
                                <w:sz w:val="18"/>
                                <w:szCs w:val="18"/>
                              </w:rPr>
                              <w:t>articipation do not apply to these actions.</w:t>
                            </w:r>
                          </w:p>
                          <w:p w14:paraId="3EF0A0F0" w14:textId="508D8E98" w:rsidR="004746B1" w:rsidRPr="002E662E" w:rsidRDefault="004746B1" w:rsidP="003E2FE6">
                            <w:pPr>
                              <w:numPr>
                                <w:ilvl w:val="0"/>
                                <w:numId w:val="11"/>
                              </w:numPr>
                              <w:spacing w:line="240" w:lineRule="auto"/>
                              <w:ind w:left="480" w:right="78"/>
                              <w:rPr>
                                <w:rFonts w:cs="Arial"/>
                                <w:color w:val="595959"/>
                                <w:sz w:val="18"/>
                                <w:szCs w:val="18"/>
                              </w:rPr>
                            </w:pPr>
                            <w:r w:rsidRPr="002E662E">
                              <w:rPr>
                                <w:rFonts w:cs="Arial"/>
                                <w:b/>
                                <w:color w:val="595959"/>
                                <w:sz w:val="18"/>
                                <w:szCs w:val="18"/>
                              </w:rPr>
                              <w:t>Indirectly managed actions</w:t>
                            </w:r>
                            <w:r w:rsidRPr="002E662E">
                              <w:rPr>
                                <w:rFonts w:cs="Arial"/>
                                <w:color w:val="595959"/>
                                <w:sz w:val="18"/>
                                <w:szCs w:val="18"/>
                              </w:rPr>
                              <w:t xml:space="preserve"> — Indirectly managed actions refer to actions implemented by entities which are entrusted with implement</w:t>
                            </w:r>
                            <w:r>
                              <w:rPr>
                                <w:rFonts w:cs="Arial"/>
                                <w:color w:val="595959"/>
                                <w:sz w:val="18"/>
                                <w:szCs w:val="18"/>
                              </w:rPr>
                              <w:t>ing</w:t>
                            </w:r>
                            <w:r w:rsidRPr="002E662E">
                              <w:rPr>
                                <w:rFonts w:cs="Arial"/>
                                <w:color w:val="595959"/>
                                <w:sz w:val="18"/>
                                <w:szCs w:val="18"/>
                              </w:rPr>
                              <w:t xml:space="preserve"> </w:t>
                            </w:r>
                            <w:r>
                              <w:rPr>
                                <w:rFonts w:cs="Arial"/>
                                <w:color w:val="595959"/>
                                <w:sz w:val="18"/>
                                <w:szCs w:val="18"/>
                              </w:rPr>
                              <w:t>E</w:t>
                            </w:r>
                            <w:r w:rsidRPr="002E662E">
                              <w:rPr>
                                <w:rFonts w:cs="Arial"/>
                                <w:color w:val="595959"/>
                                <w:sz w:val="18"/>
                                <w:szCs w:val="18"/>
                              </w:rPr>
                              <w:t>U funds or budgetary guarantees through a contribution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06C32" id="_x0000_t202" coordsize="21600,21600" o:spt="202" path="m,l,21600r21600,l21600,xe">
                <v:stroke joinstyle="miter"/>
                <v:path gradientshapeok="t" o:connecttype="rect"/>
              </v:shapetype>
              <v:shape id="Text Box 10" o:spid="_x0000_s1026" type="#_x0000_t202" style="position:absolute;margin-left:9.5pt;margin-top:-3.4pt;width:430.95pt;height:69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" fillcolor="#f2f2f2" strokecolor="#bfbfbf" strokeweight="1.5pt">
                <v:textbox>
                  <w:txbxContent>
                    <w:p w14:paraId="4AFD4766" w14:textId="77777777" w:rsidR="004746B1" w:rsidRPr="006010BA" w:rsidRDefault="004746B1" w:rsidP="003E2FE6">
                      <w:pPr>
                        <w:pStyle w:val="Text1"/>
                        <w:spacing w:before="120" w:after="120"/>
                        <w:ind w:left="0"/>
                        <w:rPr>
                          <w:rFonts w:cs="Arial"/>
                          <w:color w:val="F79646"/>
                          <w:sz w:val="16"/>
                          <w:szCs w:val="18"/>
                        </w:rPr>
                      </w:pPr>
                      <w:r w:rsidRPr="006010BA">
                        <w:rPr>
                          <w:noProof/>
                          <w:sz w:val="18"/>
                          <w:szCs w:val="18"/>
                          <w:lang w:eastAsia="en-GB"/>
                        </w:rPr>
                        <w:t xml:space="preserve"> </w:t>
                      </w:r>
                      <w:r w:rsidRPr="00F14350">
                        <w:rPr>
                          <w:rFonts w:cs="Arial"/>
                          <w:b/>
                          <w:color w:val="595959"/>
                          <w:sz w:val="18"/>
                          <w:szCs w:val="18"/>
                        </w:rPr>
                        <w:t>O</w:t>
                      </w:r>
                      <w:r>
                        <w:rPr>
                          <w:rFonts w:cs="Arial"/>
                          <w:b/>
                          <w:color w:val="595959"/>
                          <w:sz w:val="18"/>
                          <w:szCs w:val="18"/>
                        </w:rPr>
                        <w:t>THER TYPES OF ACTIONS AND FORMS OF FUNDING</w:t>
                      </w:r>
                      <w:r w:rsidRPr="00F14350">
                        <w:rPr>
                          <w:rFonts w:cs="Arial"/>
                          <w:b/>
                          <w:color w:val="595959"/>
                          <w:sz w:val="18"/>
                          <w:szCs w:val="18"/>
                        </w:rPr>
                        <w:t xml:space="preserve"> </w:t>
                      </w:r>
                    </w:p>
                    <w:p w14:paraId="71A8F5AF" w14:textId="49E7A1E9" w:rsidR="004746B1" w:rsidRPr="00B23708" w:rsidRDefault="004746B1" w:rsidP="003E2FE6">
                      <w:pPr>
                        <w:spacing w:after="120" w:line="240" w:lineRule="auto"/>
                        <w:ind w:right="79"/>
                        <w:rPr>
                          <w:color w:val="595959"/>
                          <w:sz w:val="18"/>
                          <w:szCs w:val="18"/>
                        </w:rPr>
                      </w:pPr>
                      <w:r w:rsidRPr="00B23708">
                        <w:rPr>
                          <w:color w:val="595959"/>
                          <w:sz w:val="18"/>
                          <w:szCs w:val="18"/>
                        </w:rPr>
                        <w:t xml:space="preserve">In addition to the eligible activities described in </w:t>
                      </w:r>
                      <w:r w:rsidR="00567817">
                        <w:rPr>
                          <w:color w:val="595959"/>
                          <w:sz w:val="18"/>
                          <w:szCs w:val="18"/>
                        </w:rPr>
                        <w:t>Annex</w:t>
                      </w:r>
                      <w:r w:rsidR="00567817" w:rsidRPr="00B23708">
                        <w:rPr>
                          <w:color w:val="595959"/>
                          <w:sz w:val="18"/>
                          <w:szCs w:val="18"/>
                        </w:rPr>
                        <w:t xml:space="preserve"> </w:t>
                      </w:r>
                      <w:r w:rsidRPr="00B23708">
                        <w:rPr>
                          <w:color w:val="595959"/>
                          <w:sz w:val="18"/>
                          <w:szCs w:val="18"/>
                        </w:rPr>
                        <w:t>B</w:t>
                      </w:r>
                      <w:r>
                        <w:rPr>
                          <w:color w:val="595959"/>
                          <w:sz w:val="18"/>
                          <w:szCs w:val="18"/>
                        </w:rPr>
                        <w:t xml:space="preserve"> above</w:t>
                      </w:r>
                      <w:r w:rsidRPr="00B23708">
                        <w:rPr>
                          <w:color w:val="595959"/>
                          <w:sz w:val="18"/>
                          <w:szCs w:val="18"/>
                        </w:rPr>
                        <w:t>, the following types of action and forms of funding are used in Horizon Europe. They are usually placed in the ‘Other Actions</w:t>
                      </w:r>
                      <w:r>
                        <w:rPr>
                          <w:color w:val="595959"/>
                          <w:sz w:val="18"/>
                          <w:szCs w:val="18"/>
                        </w:rPr>
                        <w:t>’</w:t>
                      </w:r>
                      <w:r w:rsidRPr="00B23708">
                        <w:rPr>
                          <w:color w:val="595959"/>
                          <w:sz w:val="18"/>
                          <w:szCs w:val="18"/>
                        </w:rPr>
                        <w:t xml:space="preserve"> section of the </w:t>
                      </w:r>
                      <w:r>
                        <w:rPr>
                          <w:color w:val="595959"/>
                          <w:sz w:val="18"/>
                          <w:szCs w:val="18"/>
                        </w:rPr>
                        <w:t>w</w:t>
                      </w:r>
                      <w:r w:rsidRPr="00B23708">
                        <w:rPr>
                          <w:color w:val="595959"/>
                          <w:sz w:val="18"/>
                          <w:szCs w:val="18"/>
                        </w:rPr>
                        <w:t xml:space="preserve">ork </w:t>
                      </w:r>
                      <w:r>
                        <w:rPr>
                          <w:color w:val="595959"/>
                          <w:sz w:val="18"/>
                          <w:szCs w:val="18"/>
                        </w:rPr>
                        <w:t>p</w:t>
                      </w:r>
                      <w:r w:rsidRPr="00B23708">
                        <w:rPr>
                          <w:color w:val="595959"/>
                          <w:sz w:val="18"/>
                          <w:szCs w:val="18"/>
                        </w:rPr>
                        <w:t xml:space="preserve">rogramme parts and </w:t>
                      </w:r>
                      <w:r>
                        <w:rPr>
                          <w:color w:val="595959"/>
                          <w:sz w:val="18"/>
                          <w:szCs w:val="18"/>
                        </w:rPr>
                        <w:t>are</w:t>
                      </w:r>
                      <w:r w:rsidRPr="00B23708">
                        <w:rPr>
                          <w:color w:val="595959"/>
                          <w:sz w:val="18"/>
                          <w:szCs w:val="18"/>
                        </w:rPr>
                        <w:t xml:space="preserve"> </w:t>
                      </w:r>
                      <w:r>
                        <w:rPr>
                          <w:color w:val="595959"/>
                          <w:sz w:val="18"/>
                          <w:szCs w:val="18"/>
                        </w:rPr>
                        <w:t xml:space="preserve">not all </w:t>
                      </w:r>
                      <w:r w:rsidRPr="00B23708">
                        <w:rPr>
                          <w:color w:val="595959"/>
                          <w:sz w:val="18"/>
                          <w:szCs w:val="18"/>
                        </w:rPr>
                        <w:t>subject to calls for proposals.</w:t>
                      </w:r>
                    </w:p>
                    <w:p w14:paraId="79E62E69" w14:textId="77777777" w:rsidR="004746B1" w:rsidRPr="00A53E20" w:rsidRDefault="004746B1" w:rsidP="003E2FE6">
                      <w:pPr>
                        <w:numPr>
                          <w:ilvl w:val="0"/>
                          <w:numId w:val="11"/>
                        </w:numPr>
                        <w:spacing w:after="120" w:line="240" w:lineRule="auto"/>
                        <w:ind w:left="480" w:right="79"/>
                        <w:rPr>
                          <w:color w:val="595959"/>
                          <w:sz w:val="18"/>
                          <w:szCs w:val="18"/>
                        </w:rPr>
                      </w:pPr>
                      <w:r>
                        <w:rPr>
                          <w:b/>
                          <w:color w:val="595959"/>
                          <w:sz w:val="18"/>
                        </w:rPr>
                        <w:t>Grants to identified beneficiaries</w:t>
                      </w:r>
                      <w:r>
                        <w:rPr>
                          <w:color w:val="595959"/>
                          <w:sz w:val="18"/>
                        </w:rPr>
                        <w:t xml:space="preserve"> </w:t>
                      </w:r>
                      <w:r w:rsidRPr="00A53E20">
                        <w:rPr>
                          <w:rFonts w:eastAsia="Calibri"/>
                          <w:b/>
                          <w:color w:val="595959"/>
                          <w:sz w:val="18"/>
                          <w:szCs w:val="18"/>
                        </w:rPr>
                        <w:t>—</w:t>
                      </w:r>
                      <w:r w:rsidRPr="00A53E20">
                        <w:rPr>
                          <w:color w:val="595959"/>
                          <w:sz w:val="18"/>
                        </w:rPr>
                        <w:t xml:space="preserve"> </w:t>
                      </w:r>
                      <w:r>
                        <w:rPr>
                          <w:color w:val="595959"/>
                          <w:sz w:val="18"/>
                        </w:rPr>
                        <w:t>Exceptionally, a</w:t>
                      </w:r>
                      <w:r w:rsidRPr="00B23708">
                        <w:rPr>
                          <w:color w:val="595959"/>
                          <w:sz w:val="18"/>
                        </w:rPr>
                        <w:t xml:space="preserve"> grant </w:t>
                      </w:r>
                      <w:r>
                        <w:rPr>
                          <w:color w:val="595959"/>
                          <w:sz w:val="18"/>
                        </w:rPr>
                        <w:t>may be awarded</w:t>
                      </w:r>
                      <w:r w:rsidRPr="00B23708">
                        <w:rPr>
                          <w:color w:val="595959"/>
                          <w:sz w:val="18"/>
                        </w:rPr>
                        <w:t xml:space="preserve"> </w:t>
                      </w:r>
                      <w:r>
                        <w:rPr>
                          <w:color w:val="595959"/>
                          <w:sz w:val="18"/>
                        </w:rPr>
                        <w:t>to legal entities explicitly</w:t>
                      </w:r>
                      <w:r w:rsidRPr="00B23708">
                        <w:rPr>
                          <w:color w:val="595959"/>
                          <w:sz w:val="18"/>
                        </w:rPr>
                        <w:t xml:space="preserve"> named in the work programme without a prior call for proposals. </w:t>
                      </w:r>
                      <w:r>
                        <w:rPr>
                          <w:color w:val="595959"/>
                          <w:sz w:val="18"/>
                        </w:rPr>
                        <w:t>The identified beneficiaries</w:t>
                      </w:r>
                      <w:r w:rsidRPr="00B23708">
                        <w:rPr>
                          <w:color w:val="595959"/>
                          <w:sz w:val="18"/>
                        </w:rPr>
                        <w:t xml:space="preserve"> must nevertheless submit a proposal to benefit from funding. This proposal</w:t>
                      </w:r>
                      <w:r>
                        <w:rPr>
                          <w:color w:val="595959"/>
                          <w:sz w:val="18"/>
                        </w:rPr>
                        <w:t xml:space="preserve"> will</w:t>
                      </w:r>
                      <w:r w:rsidRPr="00B23708">
                        <w:rPr>
                          <w:color w:val="595959"/>
                          <w:sz w:val="18"/>
                        </w:rPr>
                        <w:t xml:space="preserve"> be evaluated and </w:t>
                      </w:r>
                      <w:r>
                        <w:rPr>
                          <w:color w:val="595959"/>
                          <w:sz w:val="18"/>
                        </w:rPr>
                        <w:t xml:space="preserve">must </w:t>
                      </w:r>
                      <w:r w:rsidRPr="00B23708">
                        <w:rPr>
                          <w:color w:val="595959"/>
                          <w:sz w:val="18"/>
                        </w:rPr>
                        <w:t xml:space="preserve">exceed the required threshold. The funding rates </w:t>
                      </w:r>
                      <w:r>
                        <w:rPr>
                          <w:color w:val="595959"/>
                          <w:sz w:val="18"/>
                        </w:rPr>
                        <w:t xml:space="preserve">will </w:t>
                      </w:r>
                      <w:r w:rsidRPr="00B23708">
                        <w:rPr>
                          <w:color w:val="595959"/>
                          <w:sz w:val="18"/>
                        </w:rPr>
                        <w:t>correspond to the type of action indicated.</w:t>
                      </w:r>
                    </w:p>
                    <w:p w14:paraId="0E8F6B75" w14:textId="4608AF5B" w:rsidR="004746B1" w:rsidRPr="002E662E" w:rsidRDefault="004746B1" w:rsidP="003E2FE6">
                      <w:pPr>
                        <w:numPr>
                          <w:ilvl w:val="0"/>
                          <w:numId w:val="11"/>
                        </w:numPr>
                        <w:spacing w:line="240" w:lineRule="auto"/>
                        <w:ind w:left="480" w:right="79"/>
                        <w:rPr>
                          <w:rFonts w:cs="Arial"/>
                          <w:color w:val="595959"/>
                          <w:sz w:val="18"/>
                        </w:rPr>
                      </w:pPr>
                      <w:r>
                        <w:rPr>
                          <w:rFonts w:cs="Arial"/>
                          <w:b/>
                          <w:color w:val="595959"/>
                          <w:sz w:val="18"/>
                        </w:rPr>
                        <w:t xml:space="preserve">Prizes </w:t>
                      </w:r>
                      <w:r w:rsidRPr="00C270C0">
                        <w:rPr>
                          <w:rFonts w:cs="Arial"/>
                          <w:b/>
                          <w:color w:val="595959"/>
                          <w:sz w:val="18"/>
                        </w:rPr>
                        <w:t xml:space="preserve">— </w:t>
                      </w:r>
                      <w:r w:rsidRPr="002E662E">
                        <w:rPr>
                          <w:rFonts w:cs="Arial"/>
                          <w:i/>
                          <w:color w:val="595959"/>
                          <w:sz w:val="18"/>
                        </w:rPr>
                        <w:t>Inducement prizes</w:t>
                      </w:r>
                      <w:r w:rsidRPr="002E662E">
                        <w:rPr>
                          <w:rFonts w:cs="Arial"/>
                          <w:color w:val="595959"/>
                          <w:sz w:val="18"/>
                        </w:rPr>
                        <w:t xml:space="preserve">: a prize to stimulate investment in a given area, by specifying a goal prior to the </w:t>
                      </w:r>
                      <w:r>
                        <w:rPr>
                          <w:rFonts w:cs="Arial"/>
                          <w:color w:val="595959"/>
                          <w:sz w:val="18"/>
                        </w:rPr>
                        <w:t xml:space="preserve">work being </w:t>
                      </w:r>
                      <w:r w:rsidRPr="002E662E">
                        <w:rPr>
                          <w:rFonts w:cs="Arial"/>
                          <w:color w:val="595959"/>
                          <w:sz w:val="18"/>
                        </w:rPr>
                        <w:t>perform</w:t>
                      </w:r>
                      <w:r>
                        <w:rPr>
                          <w:rFonts w:cs="Arial"/>
                          <w:color w:val="595959"/>
                          <w:sz w:val="18"/>
                        </w:rPr>
                        <w:t>ed</w:t>
                      </w:r>
                      <w:r w:rsidRPr="002E662E">
                        <w:rPr>
                          <w:rFonts w:cs="Arial"/>
                          <w:color w:val="595959"/>
                          <w:sz w:val="18"/>
                        </w:rPr>
                        <w:t>. Contests for inducement prizes must address technological and/or societal challenges. The award criteria will define a goal, but without prescribing how to achieve it. Contests for inducement prizes are split into</w:t>
                      </w:r>
                      <w:r>
                        <w:rPr>
                          <w:rFonts w:cs="Arial"/>
                          <w:color w:val="595959"/>
                          <w:sz w:val="18"/>
                        </w:rPr>
                        <w:t xml:space="preserve"> a</w:t>
                      </w:r>
                      <w:r w:rsidRPr="002E662E">
                        <w:rPr>
                          <w:rFonts w:cs="Arial"/>
                          <w:color w:val="595959"/>
                          <w:sz w:val="18"/>
                        </w:rPr>
                        <w:t>ward</w:t>
                      </w:r>
                      <w:r>
                        <w:rPr>
                          <w:rFonts w:cs="Arial"/>
                          <w:color w:val="595959"/>
                          <w:sz w:val="18"/>
                        </w:rPr>
                        <w:t>s</w:t>
                      </w:r>
                      <w:r w:rsidRPr="002E662E">
                        <w:rPr>
                          <w:rFonts w:cs="Arial"/>
                          <w:color w:val="595959"/>
                          <w:sz w:val="18"/>
                        </w:rPr>
                        <w:t xml:space="preserve"> </w:t>
                      </w:r>
                      <w:r>
                        <w:rPr>
                          <w:rFonts w:cs="Arial"/>
                          <w:color w:val="595959"/>
                          <w:sz w:val="18"/>
                        </w:rPr>
                        <w:t>for</w:t>
                      </w:r>
                      <w:r w:rsidRPr="002E662E">
                        <w:rPr>
                          <w:rFonts w:cs="Arial"/>
                          <w:color w:val="595959"/>
                          <w:sz w:val="18"/>
                        </w:rPr>
                        <w:t xml:space="preserve"> the contestant that first meets the specific goal defined in the </w:t>
                      </w:r>
                      <w:r>
                        <w:rPr>
                          <w:rFonts w:cs="Arial"/>
                          <w:color w:val="595959"/>
                          <w:sz w:val="18"/>
                        </w:rPr>
                        <w:t xml:space="preserve">rules of the </w:t>
                      </w:r>
                      <w:r w:rsidRPr="002E662E">
                        <w:rPr>
                          <w:rFonts w:cs="Arial"/>
                          <w:color w:val="595959"/>
                          <w:sz w:val="18"/>
                        </w:rPr>
                        <w:t>contest</w:t>
                      </w:r>
                      <w:r>
                        <w:rPr>
                          <w:rFonts w:cs="Arial"/>
                          <w:color w:val="595959"/>
                          <w:sz w:val="18"/>
                        </w:rPr>
                        <w:t>, and</w:t>
                      </w:r>
                      <w:r w:rsidRPr="002E662E">
                        <w:rPr>
                          <w:rFonts w:cs="Arial"/>
                          <w:color w:val="595959"/>
                          <w:sz w:val="18"/>
                        </w:rPr>
                        <w:t xml:space="preserve"> </w:t>
                      </w:r>
                      <w:r>
                        <w:rPr>
                          <w:rFonts w:cs="Arial"/>
                          <w:color w:val="595959"/>
                          <w:sz w:val="18"/>
                        </w:rPr>
                        <w:t>a</w:t>
                      </w:r>
                      <w:r w:rsidRPr="002E662E">
                        <w:rPr>
                          <w:rFonts w:cs="Arial"/>
                          <w:color w:val="595959"/>
                          <w:sz w:val="18"/>
                        </w:rPr>
                        <w:t>ward</w:t>
                      </w:r>
                      <w:r>
                        <w:rPr>
                          <w:rFonts w:cs="Arial"/>
                          <w:color w:val="595959"/>
                          <w:sz w:val="18"/>
                        </w:rPr>
                        <w:t>s</w:t>
                      </w:r>
                      <w:r w:rsidRPr="002E662E">
                        <w:rPr>
                          <w:rFonts w:cs="Arial"/>
                          <w:color w:val="595959"/>
                          <w:sz w:val="18"/>
                        </w:rPr>
                        <w:t xml:space="preserve"> </w:t>
                      </w:r>
                      <w:r>
                        <w:rPr>
                          <w:rFonts w:cs="Arial"/>
                          <w:color w:val="595959"/>
                          <w:sz w:val="18"/>
                        </w:rPr>
                        <w:t>for</w:t>
                      </w:r>
                      <w:r w:rsidRPr="002E662E">
                        <w:rPr>
                          <w:rFonts w:cs="Arial"/>
                          <w:color w:val="595959"/>
                          <w:sz w:val="18"/>
                        </w:rPr>
                        <w:t xml:space="preserve"> the best contestant within a given period</w:t>
                      </w:r>
                      <w:r>
                        <w:rPr>
                          <w:rFonts w:cs="Arial"/>
                          <w:color w:val="595959"/>
                          <w:sz w:val="18"/>
                        </w:rPr>
                        <w:t xml:space="preserve">. </w:t>
                      </w:r>
                      <w:r w:rsidRPr="002E662E">
                        <w:rPr>
                          <w:rFonts w:cs="Arial"/>
                          <w:i/>
                          <w:color w:val="595959"/>
                          <w:sz w:val="18"/>
                        </w:rPr>
                        <w:t>Recognition prizes</w:t>
                      </w:r>
                      <w:r w:rsidRPr="002E662E">
                        <w:rPr>
                          <w:rFonts w:cs="Arial"/>
                          <w:color w:val="595959"/>
                          <w:sz w:val="18"/>
                        </w:rPr>
                        <w:t xml:space="preserve">: a prize to reward past achievements and outstanding work after it has been performed. Recognition prizes must </w:t>
                      </w:r>
                      <w:r>
                        <w:rPr>
                          <w:rFonts w:cs="Arial"/>
                          <w:color w:val="595959"/>
                          <w:sz w:val="18"/>
                        </w:rPr>
                        <w:t>help</w:t>
                      </w:r>
                      <w:r w:rsidRPr="002E662E">
                        <w:rPr>
                          <w:rFonts w:cs="Arial"/>
                          <w:color w:val="595959"/>
                          <w:sz w:val="18"/>
                        </w:rPr>
                        <w:t xml:space="preserve"> to raise public awareness of EU policies, create role models and support best</w:t>
                      </w:r>
                      <w:r>
                        <w:rPr>
                          <w:rFonts w:cs="Arial"/>
                          <w:color w:val="595959"/>
                          <w:sz w:val="18"/>
                        </w:rPr>
                        <w:t xml:space="preserve"> </w:t>
                      </w:r>
                      <w:r w:rsidRPr="002E662E">
                        <w:rPr>
                          <w:rFonts w:cs="Arial"/>
                          <w:color w:val="595959"/>
                          <w:sz w:val="18"/>
                        </w:rPr>
                        <w:t xml:space="preserve">practice exchange. The </w:t>
                      </w:r>
                      <w:r>
                        <w:rPr>
                          <w:rFonts w:cs="Arial"/>
                          <w:color w:val="595959"/>
                          <w:sz w:val="18"/>
                        </w:rPr>
                        <w:t>r</w:t>
                      </w:r>
                      <w:r w:rsidRPr="002E662E">
                        <w:rPr>
                          <w:rFonts w:cs="Arial"/>
                          <w:color w:val="595959"/>
                          <w:sz w:val="18"/>
                        </w:rPr>
                        <w:t xml:space="preserve">ules of the </w:t>
                      </w:r>
                      <w:r>
                        <w:rPr>
                          <w:rFonts w:cs="Arial"/>
                          <w:color w:val="595959"/>
                          <w:sz w:val="18"/>
                        </w:rPr>
                        <w:t>c</w:t>
                      </w:r>
                      <w:r w:rsidRPr="002E662E">
                        <w:rPr>
                          <w:rFonts w:cs="Arial"/>
                          <w:color w:val="595959"/>
                          <w:sz w:val="18"/>
                        </w:rPr>
                        <w:t>ontest of a specific prize describe the eligibility and award criteria, the evaluation procedure, the indicat</w:t>
                      </w:r>
                      <w:r>
                        <w:rPr>
                          <w:rFonts w:cs="Arial"/>
                          <w:color w:val="595959"/>
                          <w:sz w:val="18"/>
                        </w:rPr>
                        <w:t>iv</w:t>
                      </w:r>
                      <w:r w:rsidRPr="002E662E">
                        <w:rPr>
                          <w:rFonts w:cs="Arial"/>
                          <w:color w:val="595959"/>
                          <w:sz w:val="18"/>
                        </w:rPr>
                        <w:t xml:space="preserve">e timetable and the reward. The </w:t>
                      </w:r>
                      <w:r>
                        <w:rPr>
                          <w:rFonts w:cs="Arial"/>
                          <w:color w:val="595959"/>
                          <w:sz w:val="18"/>
                        </w:rPr>
                        <w:t>rules are</w:t>
                      </w:r>
                      <w:r w:rsidRPr="002E662E">
                        <w:rPr>
                          <w:rFonts w:cs="Arial"/>
                          <w:color w:val="595959"/>
                          <w:sz w:val="18"/>
                        </w:rPr>
                        <w:t xml:space="preserve"> found </w:t>
                      </w:r>
                      <w:r>
                        <w:rPr>
                          <w:rFonts w:cs="Arial"/>
                          <w:color w:val="595959"/>
                          <w:sz w:val="18"/>
                        </w:rPr>
                        <w:t>on</w:t>
                      </w:r>
                      <w:r w:rsidRPr="002E662E">
                        <w:rPr>
                          <w:rFonts w:cs="Arial"/>
                          <w:color w:val="595959"/>
                          <w:sz w:val="18"/>
                        </w:rPr>
                        <w:t xml:space="preserve"> the call topic page on the </w:t>
                      </w:r>
                      <w:r>
                        <w:rPr>
                          <w:rFonts w:cs="Arial"/>
                          <w:color w:val="595959"/>
                          <w:sz w:val="18"/>
                        </w:rPr>
                        <w:t xml:space="preserve">Funding &amp; Tenders </w:t>
                      </w:r>
                      <w:r w:rsidRPr="002E662E">
                        <w:rPr>
                          <w:rFonts w:cs="Arial"/>
                          <w:color w:val="595959"/>
                          <w:sz w:val="18"/>
                        </w:rPr>
                        <w:t>Portal.</w:t>
                      </w:r>
                    </w:p>
                    <w:p w14:paraId="2F1A1DFA" w14:textId="5AF8482E" w:rsidR="004746B1" w:rsidRPr="00C270C0" w:rsidRDefault="004746B1" w:rsidP="003E2FE6">
                      <w:pPr>
                        <w:numPr>
                          <w:ilvl w:val="0"/>
                          <w:numId w:val="11"/>
                        </w:numPr>
                        <w:spacing w:line="240" w:lineRule="auto"/>
                        <w:ind w:left="480" w:right="79"/>
                        <w:rPr>
                          <w:rFonts w:cs="Arial"/>
                          <w:color w:val="595959"/>
                          <w:sz w:val="18"/>
                          <w:szCs w:val="18"/>
                        </w:rPr>
                      </w:pPr>
                      <w:r w:rsidRPr="00C270C0">
                        <w:rPr>
                          <w:rFonts w:cs="Arial"/>
                          <w:b/>
                          <w:color w:val="595959"/>
                          <w:sz w:val="18"/>
                          <w:szCs w:val="18"/>
                        </w:rPr>
                        <w:t xml:space="preserve">Framework partnerships and specific grant agreements </w:t>
                      </w:r>
                      <w:r w:rsidRPr="006010BA">
                        <w:rPr>
                          <w:rFonts w:eastAsia="Calibri"/>
                          <w:b/>
                          <w:color w:val="595959"/>
                          <w:sz w:val="18"/>
                          <w:szCs w:val="18"/>
                        </w:rPr>
                        <w:t>—</w:t>
                      </w:r>
                      <w:r>
                        <w:rPr>
                          <w:rFonts w:eastAsia="Calibri"/>
                          <w:b/>
                          <w:color w:val="595959"/>
                          <w:sz w:val="18"/>
                          <w:szCs w:val="18"/>
                        </w:rPr>
                        <w:t xml:space="preserve"> </w:t>
                      </w:r>
                      <w:r w:rsidRPr="00C270C0">
                        <w:rPr>
                          <w:rFonts w:cs="Arial"/>
                          <w:color w:val="595959"/>
                          <w:sz w:val="18"/>
                          <w:szCs w:val="18"/>
                        </w:rPr>
                        <w:t xml:space="preserve">Framework partnerships are </w:t>
                      </w:r>
                      <w:r>
                        <w:rPr>
                          <w:rFonts w:cs="Arial"/>
                          <w:color w:val="595959"/>
                          <w:sz w:val="18"/>
                          <w:szCs w:val="18"/>
                        </w:rPr>
                        <w:t xml:space="preserve">formalised </w:t>
                      </w:r>
                      <w:r w:rsidRPr="00C270C0">
                        <w:rPr>
                          <w:rFonts w:cs="Arial"/>
                          <w:color w:val="595959"/>
                          <w:sz w:val="18"/>
                          <w:szCs w:val="18"/>
                        </w:rPr>
                        <w:t xml:space="preserve">long-term cooperation mechanisms </w:t>
                      </w:r>
                      <w:r>
                        <w:rPr>
                          <w:rFonts w:cs="Arial"/>
                          <w:color w:val="595959"/>
                          <w:sz w:val="18"/>
                          <w:szCs w:val="18"/>
                        </w:rPr>
                        <w:t>involving several or</w:t>
                      </w:r>
                      <w:r w:rsidRPr="00C270C0">
                        <w:rPr>
                          <w:rFonts w:cs="Arial"/>
                          <w:color w:val="595959"/>
                          <w:sz w:val="18"/>
                          <w:szCs w:val="18"/>
                        </w:rPr>
                        <w:t xml:space="preserve"> recurring grants. They </w:t>
                      </w:r>
                      <w:r>
                        <w:rPr>
                          <w:rFonts w:cs="Arial"/>
                          <w:color w:val="595959"/>
                          <w:sz w:val="18"/>
                          <w:szCs w:val="18"/>
                        </w:rPr>
                        <w:t>must be</w:t>
                      </w:r>
                      <w:r w:rsidRPr="00C270C0">
                        <w:rPr>
                          <w:rFonts w:cs="Arial"/>
                          <w:color w:val="595959"/>
                          <w:sz w:val="18"/>
                          <w:szCs w:val="18"/>
                        </w:rPr>
                        <w:t xml:space="preserve"> based on jointly agreed action plans and agreements that set out the terms and conditions for receiving grants to implement the actions, framework partnership agreements (FPA) and specific grant agreements (SGA). The FPA </w:t>
                      </w:r>
                      <w:r>
                        <w:rPr>
                          <w:rFonts w:cs="Arial"/>
                          <w:color w:val="595959"/>
                          <w:sz w:val="18"/>
                          <w:szCs w:val="18"/>
                        </w:rPr>
                        <w:t>will set</w:t>
                      </w:r>
                      <w:r w:rsidRPr="00C270C0">
                        <w:rPr>
                          <w:rFonts w:cs="Arial"/>
                          <w:color w:val="595959"/>
                          <w:sz w:val="18"/>
                          <w:szCs w:val="18"/>
                        </w:rPr>
                        <w:t xml:space="preserve"> out the framework conditions governing potential grants to beneficiaries on the basis of an action plan and jointly agreed general objectives. The SGA </w:t>
                      </w:r>
                      <w:r>
                        <w:rPr>
                          <w:rFonts w:cs="Arial"/>
                          <w:color w:val="595959"/>
                          <w:sz w:val="18"/>
                          <w:szCs w:val="18"/>
                        </w:rPr>
                        <w:t>will set</w:t>
                      </w:r>
                      <w:r w:rsidRPr="00C270C0">
                        <w:rPr>
                          <w:rFonts w:cs="Arial"/>
                          <w:color w:val="595959"/>
                          <w:sz w:val="18"/>
                          <w:szCs w:val="18"/>
                        </w:rPr>
                        <w:t xml:space="preserve"> out the specific obligations and conditions to implement the specific action.</w:t>
                      </w:r>
                      <w:r>
                        <w:rPr>
                          <w:rFonts w:cs="Arial"/>
                          <w:color w:val="595959"/>
                          <w:sz w:val="18"/>
                          <w:szCs w:val="18"/>
                        </w:rPr>
                        <w:t xml:space="preserve"> </w:t>
                      </w:r>
                      <w:r w:rsidRPr="00C270C0">
                        <w:rPr>
                          <w:rFonts w:cs="Arial"/>
                          <w:color w:val="595959"/>
                          <w:sz w:val="18"/>
                          <w:szCs w:val="18"/>
                        </w:rPr>
                        <w:t xml:space="preserve">The FPA </w:t>
                      </w:r>
                      <w:r>
                        <w:rPr>
                          <w:rFonts w:cs="Arial"/>
                          <w:color w:val="595959"/>
                          <w:sz w:val="18"/>
                          <w:szCs w:val="18"/>
                        </w:rPr>
                        <w:t>will have</w:t>
                      </w:r>
                      <w:r w:rsidRPr="00C270C0">
                        <w:rPr>
                          <w:rFonts w:cs="Arial"/>
                          <w:color w:val="595959"/>
                          <w:sz w:val="18"/>
                          <w:szCs w:val="18"/>
                        </w:rPr>
                        <w:t xml:space="preserve"> no budget; the budget and rules on funding </w:t>
                      </w:r>
                      <w:r>
                        <w:rPr>
                          <w:rFonts w:cs="Arial"/>
                          <w:color w:val="595959"/>
                          <w:sz w:val="18"/>
                          <w:szCs w:val="18"/>
                        </w:rPr>
                        <w:t>will be</w:t>
                      </w:r>
                      <w:r w:rsidRPr="00C270C0">
                        <w:rPr>
                          <w:rFonts w:cs="Arial"/>
                          <w:color w:val="595959"/>
                          <w:sz w:val="18"/>
                          <w:szCs w:val="18"/>
                        </w:rPr>
                        <w:t xml:space="preserve"> set out in each SGA and depend on the specific type of action. The establishment of an FPA </w:t>
                      </w:r>
                      <w:r>
                        <w:rPr>
                          <w:rFonts w:cs="Arial"/>
                          <w:color w:val="595959"/>
                          <w:sz w:val="18"/>
                          <w:szCs w:val="18"/>
                        </w:rPr>
                        <w:t>must take</w:t>
                      </w:r>
                      <w:r w:rsidRPr="00C270C0">
                        <w:rPr>
                          <w:rFonts w:cs="Arial"/>
                          <w:color w:val="595959"/>
                          <w:sz w:val="18"/>
                          <w:szCs w:val="18"/>
                        </w:rPr>
                        <w:t xml:space="preserve"> place following a call for proposals. Beneficiaries </w:t>
                      </w:r>
                      <w:r>
                        <w:rPr>
                          <w:rFonts w:cs="Arial"/>
                          <w:color w:val="595959"/>
                          <w:sz w:val="18"/>
                          <w:szCs w:val="18"/>
                        </w:rPr>
                        <w:t>will be</w:t>
                      </w:r>
                      <w:r w:rsidRPr="00C270C0">
                        <w:rPr>
                          <w:rFonts w:cs="Arial"/>
                          <w:color w:val="595959"/>
                          <w:sz w:val="18"/>
                          <w:szCs w:val="18"/>
                        </w:rPr>
                        <w:t xml:space="preserve"> identified </w:t>
                      </w:r>
                      <w:r>
                        <w:rPr>
                          <w:rFonts w:cs="Arial"/>
                          <w:color w:val="595959"/>
                          <w:sz w:val="18"/>
                          <w:szCs w:val="18"/>
                        </w:rPr>
                        <w:t>from</w:t>
                      </w:r>
                      <w:r w:rsidRPr="00C270C0">
                        <w:rPr>
                          <w:rFonts w:cs="Arial"/>
                          <w:color w:val="595959"/>
                          <w:sz w:val="18"/>
                          <w:szCs w:val="18"/>
                        </w:rPr>
                        <w:t xml:space="preserve"> the evaluation of the proposals. In a subsequent step, beneficiaries </w:t>
                      </w:r>
                      <w:r>
                        <w:rPr>
                          <w:rFonts w:cs="Arial"/>
                          <w:color w:val="595959"/>
                          <w:sz w:val="18"/>
                          <w:szCs w:val="18"/>
                        </w:rPr>
                        <w:t>may be</w:t>
                      </w:r>
                      <w:r w:rsidRPr="00C270C0">
                        <w:rPr>
                          <w:rFonts w:cs="Arial"/>
                          <w:color w:val="595959"/>
                          <w:sz w:val="18"/>
                          <w:szCs w:val="18"/>
                        </w:rPr>
                        <w:t xml:space="preserve"> invited to submit their proposals for the SGA.</w:t>
                      </w:r>
                      <w:r>
                        <w:rPr>
                          <w:rFonts w:cs="Arial"/>
                          <w:color w:val="595959"/>
                          <w:sz w:val="18"/>
                          <w:szCs w:val="18"/>
                        </w:rPr>
                        <w:t xml:space="preserve"> </w:t>
                      </w:r>
                      <w:r w:rsidRPr="00C270C0">
                        <w:rPr>
                          <w:rFonts w:cs="Arial"/>
                          <w:color w:val="595959"/>
                          <w:sz w:val="18"/>
                          <w:szCs w:val="18"/>
                        </w:rPr>
                        <w:t xml:space="preserve">Framework partnerships do not give the partners (i.e. potential beneficiaries) exclusive rights to be awarded the grants covered by the </w:t>
                      </w:r>
                      <w:r>
                        <w:rPr>
                          <w:rFonts w:cs="Arial"/>
                          <w:color w:val="595959"/>
                          <w:sz w:val="18"/>
                          <w:szCs w:val="18"/>
                        </w:rPr>
                        <w:t>FPAs</w:t>
                      </w:r>
                      <w:r w:rsidRPr="00C270C0">
                        <w:rPr>
                          <w:rFonts w:cs="Arial"/>
                          <w:color w:val="595959"/>
                          <w:sz w:val="18"/>
                          <w:szCs w:val="18"/>
                        </w:rPr>
                        <w:t xml:space="preserve">. SGAs </w:t>
                      </w:r>
                      <w:r>
                        <w:rPr>
                          <w:rFonts w:cs="Arial"/>
                          <w:color w:val="595959"/>
                          <w:sz w:val="18"/>
                          <w:szCs w:val="18"/>
                        </w:rPr>
                        <w:t>must</w:t>
                      </w:r>
                      <w:r w:rsidRPr="00C270C0">
                        <w:rPr>
                          <w:rFonts w:cs="Arial"/>
                          <w:color w:val="595959"/>
                          <w:sz w:val="18"/>
                          <w:szCs w:val="18"/>
                        </w:rPr>
                        <w:t xml:space="preserve"> only be signed if the FPA has been signed, and before the end date of the FPA.</w:t>
                      </w:r>
                    </w:p>
                    <w:p w14:paraId="17FCDBAF" w14:textId="781C45F1" w:rsidR="004746B1" w:rsidRDefault="004746B1" w:rsidP="003E2FE6">
                      <w:pPr>
                        <w:numPr>
                          <w:ilvl w:val="0"/>
                          <w:numId w:val="11"/>
                        </w:numPr>
                        <w:spacing w:line="240" w:lineRule="auto"/>
                        <w:ind w:left="480" w:right="79"/>
                        <w:rPr>
                          <w:rFonts w:cs="Arial"/>
                          <w:color w:val="595959"/>
                          <w:sz w:val="18"/>
                          <w:szCs w:val="18"/>
                        </w:rPr>
                      </w:pPr>
                      <w:r w:rsidRPr="00C270C0">
                        <w:rPr>
                          <w:b/>
                          <w:color w:val="595959"/>
                          <w:sz w:val="18"/>
                          <w:szCs w:val="18"/>
                        </w:rPr>
                        <w:t>Operating grants</w:t>
                      </w:r>
                      <w:r w:rsidRPr="00C270C0">
                        <w:rPr>
                          <w:rFonts w:cs="Arial"/>
                          <w:color w:val="595959"/>
                          <w:sz w:val="18"/>
                        </w:rPr>
                        <w:t xml:space="preserve"> </w:t>
                      </w:r>
                      <w:r w:rsidRPr="00C270C0">
                        <w:rPr>
                          <w:rFonts w:eastAsia="Calibri"/>
                          <w:b/>
                          <w:color w:val="595959"/>
                          <w:sz w:val="18"/>
                          <w:szCs w:val="18"/>
                        </w:rPr>
                        <w:t xml:space="preserve">— </w:t>
                      </w:r>
                      <w:r w:rsidRPr="00C270C0">
                        <w:rPr>
                          <w:rFonts w:cs="Arial"/>
                          <w:color w:val="595959"/>
                          <w:sz w:val="18"/>
                        </w:rPr>
                        <w:t>Operating grants provide financial support for the functioning of a body to enable it to carry out specific activities set out in the agreed work programme. Operating grants do not support the implementation of a specific action</w:t>
                      </w:r>
                      <w:r>
                        <w:rPr>
                          <w:rFonts w:cs="Arial"/>
                          <w:color w:val="595959"/>
                          <w:sz w:val="18"/>
                        </w:rPr>
                        <w:t>,</w:t>
                      </w:r>
                      <w:r w:rsidRPr="00C270C0">
                        <w:rPr>
                          <w:rFonts w:cs="Arial"/>
                          <w:color w:val="595959"/>
                          <w:sz w:val="18"/>
                        </w:rPr>
                        <w:t xml:space="preserve"> but </w:t>
                      </w:r>
                      <w:r>
                        <w:rPr>
                          <w:rFonts w:cs="Arial"/>
                          <w:color w:val="595959"/>
                          <w:sz w:val="18"/>
                        </w:rPr>
                        <w:t xml:space="preserve">rather </w:t>
                      </w:r>
                      <w:r w:rsidRPr="00C270C0">
                        <w:rPr>
                          <w:rFonts w:cs="Arial"/>
                          <w:color w:val="595959"/>
                          <w:sz w:val="18"/>
                        </w:rPr>
                        <w:t xml:space="preserve">the annual operating budget (or part of it) for certain bodies whose statutory activities serve the strategic objectives of </w:t>
                      </w:r>
                      <w:r>
                        <w:rPr>
                          <w:rFonts w:cs="Arial"/>
                          <w:color w:val="595959"/>
                          <w:sz w:val="18"/>
                        </w:rPr>
                        <w:t>E</w:t>
                      </w:r>
                      <w:r w:rsidRPr="00C270C0">
                        <w:rPr>
                          <w:rFonts w:cs="Arial"/>
                          <w:color w:val="595959"/>
                          <w:sz w:val="18"/>
                        </w:rPr>
                        <w:t xml:space="preserve">U policies. Operating grants </w:t>
                      </w:r>
                      <w:r>
                        <w:rPr>
                          <w:rFonts w:cs="Arial"/>
                          <w:color w:val="595959"/>
                          <w:sz w:val="18"/>
                        </w:rPr>
                        <w:t>will</w:t>
                      </w:r>
                      <w:r w:rsidRPr="00C270C0">
                        <w:rPr>
                          <w:rFonts w:cs="Arial"/>
                          <w:color w:val="595959"/>
                          <w:sz w:val="18"/>
                        </w:rPr>
                        <w:t xml:space="preserve"> always </w:t>
                      </w:r>
                      <w:r>
                        <w:rPr>
                          <w:rFonts w:cs="Arial"/>
                          <w:color w:val="595959"/>
                          <w:sz w:val="18"/>
                        </w:rPr>
                        <w:t xml:space="preserve">be </w:t>
                      </w:r>
                      <w:r w:rsidRPr="00C270C0">
                        <w:rPr>
                          <w:rFonts w:cs="Arial"/>
                          <w:color w:val="595959"/>
                          <w:sz w:val="18"/>
                        </w:rPr>
                        <w:t>mono-beneficiary grants supporting the work programme of only one organisation.</w:t>
                      </w:r>
                      <w:r>
                        <w:rPr>
                          <w:rFonts w:cs="Arial"/>
                          <w:color w:val="595959"/>
                          <w:sz w:val="18"/>
                        </w:rPr>
                        <w:t xml:space="preserve"> </w:t>
                      </w:r>
                      <w:r w:rsidRPr="00C270C0">
                        <w:rPr>
                          <w:rFonts w:cs="Arial"/>
                          <w:color w:val="595959"/>
                          <w:sz w:val="18"/>
                        </w:rPr>
                        <w:t xml:space="preserve">Operating grants </w:t>
                      </w:r>
                      <w:r>
                        <w:rPr>
                          <w:rFonts w:cs="Arial"/>
                          <w:color w:val="595959"/>
                          <w:sz w:val="18"/>
                        </w:rPr>
                        <w:t xml:space="preserve">must </w:t>
                      </w:r>
                      <w:r w:rsidRPr="00C270C0">
                        <w:rPr>
                          <w:rFonts w:cs="Arial"/>
                          <w:color w:val="595959"/>
                          <w:sz w:val="18"/>
                        </w:rPr>
                        <w:t>follow the same rules as described in section G</w:t>
                      </w:r>
                      <w:r>
                        <w:rPr>
                          <w:rFonts w:cs="Arial"/>
                          <w:color w:val="595959"/>
                          <w:sz w:val="18"/>
                        </w:rPr>
                        <w:t>,</w:t>
                      </w:r>
                      <w:r w:rsidRPr="00C270C0">
                        <w:rPr>
                          <w:rFonts w:cs="Arial"/>
                          <w:color w:val="595959"/>
                          <w:sz w:val="18"/>
                        </w:rPr>
                        <w:t xml:space="preserve"> but </w:t>
                      </w:r>
                      <w:r>
                        <w:rPr>
                          <w:rFonts w:cs="Arial"/>
                          <w:color w:val="595959"/>
                          <w:sz w:val="18"/>
                        </w:rPr>
                        <w:t xml:space="preserve">they </w:t>
                      </w:r>
                      <w:r w:rsidRPr="00C270C0">
                        <w:rPr>
                          <w:rFonts w:cs="Arial"/>
                          <w:color w:val="595959"/>
                          <w:sz w:val="18"/>
                        </w:rPr>
                        <w:t xml:space="preserve">do not differentiate between direct and indirect costs. Receiving an operating grant may make beneficiaries ineligible </w:t>
                      </w:r>
                      <w:r>
                        <w:rPr>
                          <w:rFonts w:cs="Arial"/>
                          <w:color w:val="595959"/>
                          <w:sz w:val="18"/>
                        </w:rPr>
                        <w:t>to</w:t>
                      </w:r>
                      <w:r w:rsidRPr="00C270C0">
                        <w:rPr>
                          <w:rFonts w:cs="Arial"/>
                          <w:color w:val="595959"/>
                          <w:sz w:val="18"/>
                        </w:rPr>
                        <w:t xml:space="preserve"> receiv</w:t>
                      </w:r>
                      <w:r>
                        <w:rPr>
                          <w:rFonts w:cs="Arial"/>
                          <w:color w:val="595959"/>
                          <w:sz w:val="18"/>
                        </w:rPr>
                        <w:t>e</w:t>
                      </w:r>
                      <w:r w:rsidRPr="00C270C0">
                        <w:rPr>
                          <w:rFonts w:cs="Arial"/>
                          <w:color w:val="595959"/>
                          <w:sz w:val="18"/>
                        </w:rPr>
                        <w:t xml:space="preserve"> indirect costs in all other EU action grants.</w:t>
                      </w:r>
                    </w:p>
                    <w:p w14:paraId="5A849693" w14:textId="6CF42522" w:rsidR="004746B1" w:rsidRDefault="004746B1" w:rsidP="003E2FE6">
                      <w:pPr>
                        <w:numPr>
                          <w:ilvl w:val="0"/>
                          <w:numId w:val="11"/>
                        </w:numPr>
                        <w:spacing w:line="240" w:lineRule="auto"/>
                        <w:ind w:left="480" w:right="79"/>
                        <w:rPr>
                          <w:rFonts w:cs="Arial"/>
                          <w:color w:val="595959"/>
                          <w:sz w:val="18"/>
                          <w:szCs w:val="18"/>
                        </w:rPr>
                      </w:pPr>
                      <w:r w:rsidRPr="00BF308E">
                        <w:rPr>
                          <w:rFonts w:cs="Arial"/>
                          <w:b/>
                          <w:color w:val="595959"/>
                          <w:sz w:val="18"/>
                          <w:szCs w:val="18"/>
                        </w:rPr>
                        <w:t>Public procurement</w:t>
                      </w:r>
                      <w:r w:rsidRPr="00BF308E">
                        <w:rPr>
                          <w:rFonts w:cs="Arial"/>
                          <w:color w:val="595959"/>
                          <w:sz w:val="18"/>
                          <w:szCs w:val="18"/>
                        </w:rPr>
                        <w:t xml:space="preserve"> </w:t>
                      </w:r>
                      <w:r w:rsidRPr="00BF308E">
                        <w:rPr>
                          <w:rFonts w:cs="Arial"/>
                          <w:b/>
                          <w:color w:val="595959"/>
                          <w:sz w:val="18"/>
                          <w:szCs w:val="18"/>
                        </w:rPr>
                        <w:t xml:space="preserve">— </w:t>
                      </w:r>
                      <w:r w:rsidRPr="00BF308E">
                        <w:rPr>
                          <w:rFonts w:cs="Arial"/>
                          <w:color w:val="595959"/>
                          <w:sz w:val="18"/>
                          <w:szCs w:val="18"/>
                        </w:rPr>
                        <w:t xml:space="preserve">In a public procurement action, the </w:t>
                      </w:r>
                      <w:r>
                        <w:rPr>
                          <w:rFonts w:cs="Arial"/>
                          <w:color w:val="595959"/>
                          <w:sz w:val="18"/>
                          <w:szCs w:val="18"/>
                        </w:rPr>
                        <w:t>granting authority</w:t>
                      </w:r>
                      <w:r w:rsidRPr="00BF308E">
                        <w:rPr>
                          <w:rFonts w:cs="Arial"/>
                          <w:color w:val="595959"/>
                          <w:sz w:val="18"/>
                          <w:szCs w:val="18"/>
                        </w:rPr>
                        <w:t xml:space="preserve"> purchases works, supplies or services, or acquire</w:t>
                      </w:r>
                      <w:r>
                        <w:rPr>
                          <w:rFonts w:cs="Arial"/>
                          <w:color w:val="595959"/>
                          <w:sz w:val="18"/>
                          <w:szCs w:val="18"/>
                        </w:rPr>
                        <w:t>s</w:t>
                      </w:r>
                      <w:r w:rsidRPr="00BF308E">
                        <w:rPr>
                          <w:rFonts w:cs="Arial"/>
                          <w:color w:val="595959"/>
                          <w:sz w:val="18"/>
                          <w:szCs w:val="18"/>
                        </w:rPr>
                        <w:t xml:space="preserve"> or rent</w:t>
                      </w:r>
                      <w:r>
                        <w:rPr>
                          <w:rFonts w:cs="Arial"/>
                          <w:color w:val="595959"/>
                          <w:sz w:val="18"/>
                          <w:szCs w:val="18"/>
                        </w:rPr>
                        <w:t>s</w:t>
                      </w:r>
                      <w:r w:rsidRPr="00BF308E">
                        <w:rPr>
                          <w:rFonts w:cs="Arial"/>
                          <w:color w:val="595959"/>
                          <w:sz w:val="18"/>
                          <w:szCs w:val="18"/>
                        </w:rPr>
                        <w:t xml:space="preserve"> land, buildings or other immovable property. This is done by entering into a contract with an economic operator chosen by</w:t>
                      </w:r>
                      <w:r>
                        <w:rPr>
                          <w:rFonts w:cs="Arial"/>
                          <w:color w:val="595959"/>
                          <w:sz w:val="18"/>
                          <w:szCs w:val="18"/>
                        </w:rPr>
                        <w:t xml:space="preserve"> the granting authority</w:t>
                      </w:r>
                      <w:r w:rsidRPr="00BF308E">
                        <w:rPr>
                          <w:rFonts w:cs="Arial"/>
                          <w:color w:val="595959"/>
                          <w:sz w:val="18"/>
                          <w:szCs w:val="18"/>
                        </w:rPr>
                        <w:t xml:space="preserve">. Before the </w:t>
                      </w:r>
                      <w:r w:rsidRPr="002E662E">
                        <w:rPr>
                          <w:rFonts w:cs="Arial"/>
                          <w:color w:val="595959"/>
                          <w:sz w:val="18"/>
                          <w:szCs w:val="18"/>
                        </w:rPr>
                        <w:t xml:space="preserve">granting authority </w:t>
                      </w:r>
                      <w:r w:rsidRPr="00BF308E">
                        <w:rPr>
                          <w:rFonts w:cs="Arial"/>
                          <w:color w:val="595959"/>
                          <w:sz w:val="18"/>
                          <w:szCs w:val="18"/>
                        </w:rPr>
                        <w:t xml:space="preserve">enters into a procurement contract, a call for tender is published on the </w:t>
                      </w:r>
                      <w:r>
                        <w:rPr>
                          <w:rFonts w:cs="Arial"/>
                          <w:color w:val="595959"/>
                          <w:sz w:val="18"/>
                          <w:szCs w:val="18"/>
                        </w:rPr>
                        <w:t xml:space="preserve">Funding &amp; Tenders </w:t>
                      </w:r>
                      <w:r w:rsidRPr="00BF308E">
                        <w:rPr>
                          <w:rFonts w:cs="Arial"/>
                          <w:color w:val="595959"/>
                          <w:sz w:val="18"/>
                          <w:szCs w:val="18"/>
                        </w:rPr>
                        <w:t>Portal.</w:t>
                      </w:r>
                    </w:p>
                    <w:p w14:paraId="2B91629D" w14:textId="27E5ABD4" w:rsidR="004746B1" w:rsidRDefault="004746B1" w:rsidP="003E2FE6">
                      <w:pPr>
                        <w:numPr>
                          <w:ilvl w:val="0"/>
                          <w:numId w:val="11"/>
                        </w:numPr>
                        <w:spacing w:line="240" w:lineRule="auto"/>
                        <w:ind w:left="480" w:right="79"/>
                        <w:rPr>
                          <w:rFonts w:cs="Arial"/>
                          <w:color w:val="595959"/>
                          <w:sz w:val="18"/>
                          <w:szCs w:val="18"/>
                        </w:rPr>
                      </w:pPr>
                      <w:r w:rsidRPr="00BF308E">
                        <w:rPr>
                          <w:rFonts w:cs="Arial"/>
                          <w:b/>
                          <w:color w:val="595959"/>
                          <w:sz w:val="18"/>
                          <w:szCs w:val="18"/>
                        </w:rPr>
                        <w:t>Expert contract actions —</w:t>
                      </w:r>
                      <w:r w:rsidRPr="00BF308E">
                        <w:rPr>
                          <w:rFonts w:cs="Arial"/>
                          <w:color w:val="595959"/>
                          <w:sz w:val="18"/>
                          <w:szCs w:val="18"/>
                        </w:rPr>
                        <w:t xml:space="preserve"> Expert contracts are used to appoint independent expert(s) to advise or assist us. Experts are used for evaluat</w:t>
                      </w:r>
                      <w:r>
                        <w:rPr>
                          <w:rFonts w:cs="Arial"/>
                          <w:color w:val="595959"/>
                          <w:sz w:val="18"/>
                          <w:szCs w:val="18"/>
                        </w:rPr>
                        <w:t>ing</w:t>
                      </w:r>
                      <w:r w:rsidRPr="00BF308E">
                        <w:rPr>
                          <w:rFonts w:cs="Arial"/>
                          <w:color w:val="595959"/>
                          <w:sz w:val="18"/>
                          <w:szCs w:val="18"/>
                        </w:rPr>
                        <w:t xml:space="preserve"> proposals, for evaluat</w:t>
                      </w:r>
                      <w:r>
                        <w:rPr>
                          <w:rFonts w:cs="Arial"/>
                          <w:color w:val="595959"/>
                          <w:sz w:val="18"/>
                          <w:szCs w:val="18"/>
                        </w:rPr>
                        <w:t>ing</w:t>
                      </w:r>
                      <w:r w:rsidRPr="00BF308E">
                        <w:rPr>
                          <w:rFonts w:cs="Arial"/>
                          <w:color w:val="595959"/>
                          <w:sz w:val="18"/>
                          <w:szCs w:val="18"/>
                        </w:rPr>
                        <w:t xml:space="preserve"> </w:t>
                      </w:r>
                      <w:r>
                        <w:rPr>
                          <w:rFonts w:cs="Arial"/>
                          <w:color w:val="595959"/>
                          <w:sz w:val="18"/>
                          <w:szCs w:val="18"/>
                        </w:rPr>
                        <w:t xml:space="preserve">the </w:t>
                      </w:r>
                      <w:r w:rsidRPr="00BF308E">
                        <w:rPr>
                          <w:rFonts w:cs="Arial"/>
                          <w:color w:val="595959"/>
                          <w:sz w:val="18"/>
                          <w:szCs w:val="18"/>
                        </w:rPr>
                        <w:t>programme, for ethics screenings and assessments, for advisory bodies, and for expertise related to the objectives of Horizon Europe.</w:t>
                      </w:r>
                      <w:r w:rsidRPr="00BF308E">
                        <w:rPr>
                          <w:rFonts w:cs="Arial"/>
                          <w:b/>
                          <w:color w:val="595959"/>
                          <w:sz w:val="18"/>
                          <w:szCs w:val="18"/>
                        </w:rPr>
                        <w:t xml:space="preserve"> </w:t>
                      </w:r>
                    </w:p>
                    <w:p w14:paraId="0380F961" w14:textId="77777777" w:rsidR="004746B1" w:rsidRDefault="004746B1" w:rsidP="003E2FE6">
                      <w:pPr>
                        <w:numPr>
                          <w:ilvl w:val="0"/>
                          <w:numId w:val="11"/>
                        </w:numPr>
                        <w:spacing w:line="240" w:lineRule="auto"/>
                        <w:ind w:left="480" w:right="79"/>
                        <w:rPr>
                          <w:rFonts w:cs="Arial"/>
                          <w:color w:val="595959"/>
                          <w:sz w:val="18"/>
                          <w:szCs w:val="18"/>
                        </w:rPr>
                      </w:pPr>
                      <w:r w:rsidRPr="00BF308E">
                        <w:rPr>
                          <w:rFonts w:cs="Arial"/>
                          <w:b/>
                          <w:color w:val="595959"/>
                          <w:sz w:val="18"/>
                          <w:szCs w:val="18"/>
                          <w:lang w:val="en-US"/>
                        </w:rPr>
                        <w:t>Subscription actions</w:t>
                      </w:r>
                      <w:r w:rsidRPr="00BF308E">
                        <w:rPr>
                          <w:rFonts w:cs="Arial"/>
                          <w:color w:val="595959"/>
                          <w:sz w:val="18"/>
                          <w:szCs w:val="18"/>
                          <w:lang w:val="en-US"/>
                        </w:rPr>
                        <w:t xml:space="preserve"> </w:t>
                      </w:r>
                      <w:r w:rsidRPr="00BF308E">
                        <w:rPr>
                          <w:rFonts w:cs="Arial"/>
                          <w:b/>
                          <w:color w:val="595959"/>
                          <w:sz w:val="18"/>
                          <w:szCs w:val="18"/>
                        </w:rPr>
                        <w:t>—</w:t>
                      </w:r>
                      <w:r w:rsidRPr="00BF308E">
                        <w:rPr>
                          <w:rFonts w:cs="Arial"/>
                          <w:color w:val="595959"/>
                          <w:sz w:val="18"/>
                          <w:szCs w:val="18"/>
                        </w:rPr>
                        <w:t xml:space="preserve"> Subscription actions are used to pay contributions to bodies in which the EU is a member or an observer.</w:t>
                      </w:r>
                    </w:p>
                    <w:p w14:paraId="05EBB7A3" w14:textId="3FD66A42" w:rsidR="004746B1" w:rsidRDefault="004746B1" w:rsidP="003E2FE6">
                      <w:pPr>
                        <w:numPr>
                          <w:ilvl w:val="0"/>
                          <w:numId w:val="11"/>
                        </w:numPr>
                        <w:spacing w:line="240" w:lineRule="auto"/>
                        <w:ind w:left="480" w:right="79"/>
                        <w:rPr>
                          <w:rFonts w:cs="Arial"/>
                          <w:color w:val="595959"/>
                          <w:sz w:val="18"/>
                          <w:szCs w:val="18"/>
                        </w:rPr>
                      </w:pPr>
                      <w:r w:rsidRPr="002E662E">
                        <w:rPr>
                          <w:rFonts w:cs="Arial"/>
                          <w:b/>
                          <w:color w:val="595959"/>
                          <w:sz w:val="18"/>
                          <w:szCs w:val="18"/>
                        </w:rPr>
                        <w:t>Scientific and technical services by the Joint Research Centre</w:t>
                      </w:r>
                      <w:r w:rsidRPr="002E662E">
                        <w:rPr>
                          <w:rFonts w:cs="Arial"/>
                          <w:color w:val="595959"/>
                          <w:sz w:val="18"/>
                          <w:szCs w:val="18"/>
                        </w:rPr>
                        <w:t xml:space="preserve"> — Scientific and technical services cover research and innovation activities undertaken by the Commission through its Joint Research Centre. These (non-nuclear) activities are direct actions generating high-quality scientific evidence to support efficient and affordable public policies. Horizon Europe</w:t>
                      </w:r>
                      <w:r>
                        <w:rPr>
                          <w:rFonts w:cs="Arial"/>
                          <w:color w:val="595959"/>
                          <w:sz w:val="18"/>
                          <w:szCs w:val="18"/>
                        </w:rPr>
                        <w:t>’s</w:t>
                      </w:r>
                      <w:r w:rsidRPr="002E662E">
                        <w:rPr>
                          <w:rFonts w:cs="Arial"/>
                          <w:color w:val="595959"/>
                          <w:sz w:val="18"/>
                          <w:szCs w:val="18"/>
                        </w:rPr>
                        <w:t xml:space="preserve"> </w:t>
                      </w:r>
                      <w:r>
                        <w:rPr>
                          <w:rFonts w:cs="Arial"/>
                          <w:color w:val="595959"/>
                          <w:sz w:val="18"/>
                          <w:szCs w:val="18"/>
                        </w:rPr>
                        <w:t>r</w:t>
                      </w:r>
                      <w:r w:rsidRPr="002E662E">
                        <w:rPr>
                          <w:rFonts w:cs="Arial"/>
                          <w:color w:val="595959"/>
                          <w:sz w:val="18"/>
                          <w:szCs w:val="18"/>
                        </w:rPr>
                        <w:t xml:space="preserve">ules for </w:t>
                      </w:r>
                      <w:r>
                        <w:rPr>
                          <w:rFonts w:cs="Arial"/>
                          <w:color w:val="595959"/>
                          <w:sz w:val="18"/>
                          <w:szCs w:val="18"/>
                        </w:rPr>
                        <w:t>p</w:t>
                      </w:r>
                      <w:r w:rsidRPr="002E662E">
                        <w:rPr>
                          <w:rFonts w:cs="Arial"/>
                          <w:color w:val="595959"/>
                          <w:sz w:val="18"/>
                          <w:szCs w:val="18"/>
                        </w:rPr>
                        <w:t>articipation do not apply to these actions.</w:t>
                      </w:r>
                    </w:p>
                    <w:p w14:paraId="3EF0A0F0" w14:textId="508D8E98" w:rsidR="004746B1" w:rsidRPr="002E662E" w:rsidRDefault="004746B1" w:rsidP="003E2FE6">
                      <w:pPr>
                        <w:numPr>
                          <w:ilvl w:val="0"/>
                          <w:numId w:val="11"/>
                        </w:numPr>
                        <w:spacing w:line="240" w:lineRule="auto"/>
                        <w:ind w:left="480" w:right="78"/>
                        <w:rPr>
                          <w:rFonts w:cs="Arial"/>
                          <w:color w:val="595959"/>
                          <w:sz w:val="18"/>
                          <w:szCs w:val="18"/>
                        </w:rPr>
                      </w:pPr>
                      <w:r w:rsidRPr="002E662E">
                        <w:rPr>
                          <w:rFonts w:cs="Arial"/>
                          <w:b/>
                          <w:color w:val="595959"/>
                          <w:sz w:val="18"/>
                          <w:szCs w:val="18"/>
                        </w:rPr>
                        <w:t>Indirectly managed actions</w:t>
                      </w:r>
                      <w:r w:rsidRPr="002E662E">
                        <w:rPr>
                          <w:rFonts w:cs="Arial"/>
                          <w:color w:val="595959"/>
                          <w:sz w:val="18"/>
                          <w:szCs w:val="18"/>
                        </w:rPr>
                        <w:t xml:space="preserve"> — Indirectly managed actions refer to actions implemented by entities which are entrusted with implement</w:t>
                      </w:r>
                      <w:r>
                        <w:rPr>
                          <w:rFonts w:cs="Arial"/>
                          <w:color w:val="595959"/>
                          <w:sz w:val="18"/>
                          <w:szCs w:val="18"/>
                        </w:rPr>
                        <w:t>ing</w:t>
                      </w:r>
                      <w:r w:rsidRPr="002E662E">
                        <w:rPr>
                          <w:rFonts w:cs="Arial"/>
                          <w:color w:val="595959"/>
                          <w:sz w:val="18"/>
                          <w:szCs w:val="18"/>
                        </w:rPr>
                        <w:t xml:space="preserve"> </w:t>
                      </w:r>
                      <w:r>
                        <w:rPr>
                          <w:rFonts w:cs="Arial"/>
                          <w:color w:val="595959"/>
                          <w:sz w:val="18"/>
                          <w:szCs w:val="18"/>
                        </w:rPr>
                        <w:t>E</w:t>
                      </w:r>
                      <w:r w:rsidRPr="002E662E">
                        <w:rPr>
                          <w:rFonts w:cs="Arial"/>
                          <w:color w:val="595959"/>
                          <w:sz w:val="18"/>
                          <w:szCs w:val="18"/>
                        </w:rPr>
                        <w:t>U funds or budgetary guarantees through a contribution agreement.</w:t>
                      </w:r>
                    </w:p>
                  </w:txbxContent>
                </v:textbox>
              </v:shape>
            </w:pict>
          </mc:Fallback>
        </mc:AlternateContent>
      </w:r>
    </w:p>
    <w:p w14:paraId="09BAD78A" w14:textId="2F4A6EAC" w:rsidR="00C60BD6" w:rsidRPr="00A836B9" w:rsidRDefault="00C60BD6" w:rsidP="00C60BD6">
      <w:pPr>
        <w:jc w:val="left"/>
      </w:pPr>
    </w:p>
    <w:p w14:paraId="5FEB7364" w14:textId="7F657D7A" w:rsidR="00C60BD6" w:rsidRPr="00A836B9" w:rsidRDefault="00C60BD6" w:rsidP="00C60BD6">
      <w:pPr>
        <w:jc w:val="left"/>
      </w:pPr>
    </w:p>
    <w:p w14:paraId="66B6AE40" w14:textId="5CDD608E" w:rsidR="00C60BD6" w:rsidRPr="00A836B9" w:rsidRDefault="00C60BD6" w:rsidP="00C60BD6">
      <w:pPr>
        <w:jc w:val="left"/>
      </w:pPr>
    </w:p>
    <w:p w14:paraId="0947AECF" w14:textId="2F1B376F" w:rsidR="00C60BD6" w:rsidRPr="00A836B9" w:rsidRDefault="00C60BD6" w:rsidP="00C60BD6">
      <w:pPr>
        <w:jc w:val="left"/>
      </w:pPr>
    </w:p>
    <w:p w14:paraId="1E0A01B6" w14:textId="66BE571A" w:rsidR="00C60BD6" w:rsidRPr="00A836B9" w:rsidRDefault="00C60BD6" w:rsidP="00C60BD6">
      <w:pPr>
        <w:jc w:val="left"/>
      </w:pPr>
    </w:p>
    <w:p w14:paraId="00F053AD" w14:textId="27511710" w:rsidR="00C60BD6" w:rsidRPr="00A836B9" w:rsidRDefault="00C60BD6" w:rsidP="00C60BD6">
      <w:pPr>
        <w:jc w:val="left"/>
      </w:pPr>
    </w:p>
    <w:p w14:paraId="1EC6BBF0" w14:textId="4C08951C" w:rsidR="00C60BD6" w:rsidRPr="00A836B9" w:rsidRDefault="00C60BD6" w:rsidP="00C60BD6">
      <w:pPr>
        <w:jc w:val="left"/>
      </w:pPr>
    </w:p>
    <w:p w14:paraId="4924A07C" w14:textId="525BBB49" w:rsidR="00C60BD6" w:rsidRPr="00A836B9" w:rsidRDefault="00C60BD6" w:rsidP="00C60BD6">
      <w:pPr>
        <w:jc w:val="left"/>
      </w:pPr>
    </w:p>
    <w:p w14:paraId="1D2D802A" w14:textId="57AF1F32" w:rsidR="00C60BD6" w:rsidRPr="00A836B9" w:rsidRDefault="00C60BD6" w:rsidP="00C60BD6">
      <w:pPr>
        <w:jc w:val="left"/>
      </w:pPr>
    </w:p>
    <w:p w14:paraId="759A9595" w14:textId="77777777" w:rsidR="00C60BD6" w:rsidRPr="00A836B9" w:rsidRDefault="00C60BD6" w:rsidP="00C60BD6">
      <w:pPr>
        <w:jc w:val="left"/>
      </w:pPr>
    </w:p>
    <w:p w14:paraId="46697C86" w14:textId="77777777" w:rsidR="00C60BD6" w:rsidRPr="00A836B9" w:rsidRDefault="00C60BD6" w:rsidP="00C60BD6">
      <w:pPr>
        <w:jc w:val="left"/>
      </w:pPr>
    </w:p>
    <w:p w14:paraId="57DB0336" w14:textId="77777777" w:rsidR="00C60BD6" w:rsidRPr="00A836B9" w:rsidRDefault="00C60BD6" w:rsidP="00C60BD6">
      <w:pPr>
        <w:jc w:val="left"/>
      </w:pPr>
    </w:p>
    <w:p w14:paraId="081702FD" w14:textId="77777777" w:rsidR="00C60BD6" w:rsidRPr="00A836B9" w:rsidRDefault="00C60BD6" w:rsidP="00C60BD6">
      <w:pPr>
        <w:jc w:val="left"/>
      </w:pPr>
    </w:p>
    <w:p w14:paraId="75DA6B9D" w14:textId="77777777" w:rsidR="00C60BD6" w:rsidRPr="00A836B9" w:rsidRDefault="00C60BD6" w:rsidP="00C60BD6">
      <w:pPr>
        <w:jc w:val="left"/>
      </w:pPr>
    </w:p>
    <w:p w14:paraId="575F5FB8" w14:textId="77777777" w:rsidR="00C60BD6" w:rsidRPr="00A836B9" w:rsidRDefault="00C60BD6" w:rsidP="00C60BD6">
      <w:pPr>
        <w:jc w:val="left"/>
      </w:pPr>
    </w:p>
    <w:p w14:paraId="00E7EF16" w14:textId="77777777" w:rsidR="00C60BD6" w:rsidRPr="00A836B9" w:rsidRDefault="00C60BD6" w:rsidP="00C60BD6">
      <w:pPr>
        <w:jc w:val="left"/>
      </w:pPr>
    </w:p>
    <w:p w14:paraId="5CCBDF47" w14:textId="006B5D5E" w:rsidR="00C60BD6" w:rsidRPr="00A836B9" w:rsidRDefault="00C60BD6" w:rsidP="00C60BD6">
      <w:pPr>
        <w:jc w:val="left"/>
      </w:pPr>
    </w:p>
    <w:p w14:paraId="31E995C6" w14:textId="0D7946DB" w:rsidR="003E2FE6" w:rsidRPr="00A836B9" w:rsidRDefault="003E2FE6" w:rsidP="00C60BD6">
      <w:pPr>
        <w:jc w:val="left"/>
      </w:pPr>
    </w:p>
    <w:p w14:paraId="00A00ADE" w14:textId="53012799" w:rsidR="003E2FE6" w:rsidRPr="00A836B9" w:rsidRDefault="003E2FE6" w:rsidP="00C60BD6">
      <w:pPr>
        <w:jc w:val="left"/>
      </w:pPr>
    </w:p>
    <w:p w14:paraId="6E590BBF" w14:textId="454E931C" w:rsidR="003E2FE6" w:rsidRPr="00A836B9" w:rsidRDefault="003E2FE6" w:rsidP="00C60BD6">
      <w:pPr>
        <w:jc w:val="left"/>
      </w:pPr>
    </w:p>
    <w:p w14:paraId="726E63F3" w14:textId="73390A26" w:rsidR="003E2FE6" w:rsidRPr="00A836B9" w:rsidRDefault="003E2FE6" w:rsidP="00C60BD6">
      <w:pPr>
        <w:jc w:val="left"/>
      </w:pPr>
    </w:p>
    <w:p w14:paraId="6E4747F1" w14:textId="77777777" w:rsidR="003E2FE6" w:rsidRPr="00A836B9" w:rsidRDefault="003E2FE6" w:rsidP="00C60BD6">
      <w:pPr>
        <w:jc w:val="left"/>
      </w:pPr>
    </w:p>
    <w:p w14:paraId="1441A128" w14:textId="7B3B9D52" w:rsidR="00C60BD6" w:rsidRDefault="00C60BD6" w:rsidP="00C60BD6">
      <w:pPr>
        <w:jc w:val="left"/>
      </w:pPr>
    </w:p>
    <w:p w14:paraId="390F4043" w14:textId="0B2DE8E7" w:rsidR="00567817" w:rsidRDefault="00567817" w:rsidP="00C60BD6">
      <w:pPr>
        <w:jc w:val="left"/>
      </w:pPr>
    </w:p>
    <w:p w14:paraId="7B4C9558" w14:textId="7D8E2214" w:rsidR="00567817" w:rsidRDefault="00567817" w:rsidP="00C60BD6">
      <w:pPr>
        <w:jc w:val="left"/>
      </w:pPr>
    </w:p>
    <w:p w14:paraId="34D02BDC" w14:textId="77777777" w:rsidR="00C60BD6" w:rsidRPr="00A836B9" w:rsidRDefault="00C60BD6" w:rsidP="00C60BD6">
      <w:pPr>
        <w:jc w:val="left"/>
      </w:pPr>
    </w:p>
    <w:p w14:paraId="1EED356A" w14:textId="77777777" w:rsidR="00C60BD6" w:rsidRPr="00A836B9" w:rsidRDefault="00C60BD6" w:rsidP="490E705E">
      <w:pPr>
        <w:keepNext/>
        <w:keepLines/>
        <w:spacing w:before="240" w:after="240"/>
        <w:outlineLvl w:val="1"/>
        <w:rPr>
          <w:rFonts w:eastAsiaTheme="majorEastAsia" w:cs="Times New Roman"/>
          <w:b/>
          <w:bCs/>
        </w:rPr>
      </w:pPr>
      <w:bookmarkStart w:id="7" w:name="_Toc66355169"/>
      <w:r w:rsidRPr="00A836B9">
        <w:rPr>
          <w:rFonts w:eastAsiaTheme="majorEastAsia" w:cs="Times New Roman"/>
          <w:b/>
          <w:bCs/>
        </w:rPr>
        <w:t>C — Financial and operational capacity and exclusion</w:t>
      </w:r>
      <w:bookmarkEnd w:id="7"/>
    </w:p>
    <w:p w14:paraId="0D26E586" w14:textId="77777777" w:rsidR="00C60BD6" w:rsidRPr="00A836B9" w:rsidRDefault="00C60BD6" w:rsidP="490E705E">
      <w:pPr>
        <w:rPr>
          <w:b/>
          <w:bCs/>
          <w:i/>
          <w:iCs/>
          <w:u w:val="single"/>
        </w:rPr>
      </w:pPr>
      <w:r w:rsidRPr="00A836B9">
        <w:rPr>
          <w:b/>
          <w:bCs/>
          <w:i/>
          <w:iCs/>
          <w:u w:val="single"/>
        </w:rPr>
        <w:t>Financial capacity</w:t>
      </w:r>
    </w:p>
    <w:p w14:paraId="283FFA22" w14:textId="77777777" w:rsidR="00C60BD6" w:rsidRPr="00A836B9" w:rsidRDefault="00C60BD6" w:rsidP="00C60BD6">
      <w:r w:rsidRPr="00A836B9">
        <w:t xml:space="preserve">Applicants must have </w:t>
      </w:r>
      <w:r w:rsidRPr="00A836B9">
        <w:rPr>
          <w:b/>
          <w:bCs/>
        </w:rPr>
        <w:t>stable and sufficient resources</w:t>
      </w:r>
      <w:r w:rsidRPr="00A836B9">
        <w:t xml:space="preserve"> to successfully implement the projects and contribute their share. Organisations participating in several projects must have sufficient capacity to implement all these projects. </w:t>
      </w:r>
    </w:p>
    <w:p w14:paraId="396BA386" w14:textId="67421D5B" w:rsidR="00C60BD6" w:rsidRPr="00A836B9" w:rsidRDefault="00C60BD6" w:rsidP="00C60BD6">
      <w:r w:rsidRPr="00A836B9">
        <w:t xml:space="preserve">The financial capacity check will be done on the basis of the documents uploaded in the </w:t>
      </w:r>
      <w:hyperlink r:id="rId19" w:history="1">
        <w:r w:rsidRPr="00A836B9">
          <w:rPr>
            <w:color w:val="0088CC"/>
            <w:u w:val="single"/>
          </w:rPr>
          <w:t>Participant Register</w:t>
        </w:r>
      </w:hyperlink>
      <w:r w:rsidRPr="00A836B9">
        <w:t xml:space="preserve"> during </w:t>
      </w:r>
      <w:r w:rsidR="002E4E84" w:rsidRPr="00A836B9">
        <w:t xml:space="preserve">the </w:t>
      </w:r>
      <w:r w:rsidRPr="00A836B9">
        <w:t xml:space="preserve">grant preparation </w:t>
      </w:r>
      <w:r w:rsidR="002E4E84" w:rsidRPr="00A836B9">
        <w:t xml:space="preserve">stage </w:t>
      </w:r>
      <w:r w:rsidRPr="00A836B9">
        <w:rPr>
          <w:iCs/>
        </w:rPr>
        <w:t>(e.g. profit and loss account and balance sheet, business plan, audit report produced by an approved external auditor, certifying the accounts for the last closed financial year, etc.)</w:t>
      </w:r>
      <w:r w:rsidRPr="00A836B9">
        <w:t>. The analysis will be based on neutral financial indicators, but will also take into account other aspects, such as dependency on EU funding and deficit and revenue in previous years.</w:t>
      </w:r>
    </w:p>
    <w:p w14:paraId="716D15DB" w14:textId="1DB7DF6E" w:rsidR="00C60BD6" w:rsidRPr="00A836B9" w:rsidRDefault="00C60BD6" w:rsidP="00C60BD6">
      <w:r w:rsidRPr="00A836B9">
        <w:t xml:space="preserve">The check will normally be done for the coordinator if the requested grant amount is </w:t>
      </w:r>
      <w:r w:rsidR="0086116D" w:rsidRPr="00A836B9">
        <w:t xml:space="preserve">equal </w:t>
      </w:r>
      <w:r w:rsidR="00715D5B" w:rsidRPr="00A836B9">
        <w:t xml:space="preserve">to </w:t>
      </w:r>
      <w:r w:rsidR="0086116D" w:rsidRPr="00A836B9">
        <w:t>or greater</w:t>
      </w:r>
      <w:r w:rsidRPr="00A836B9">
        <w:t xml:space="preserve"> than EUR 500 000, except for: </w:t>
      </w:r>
    </w:p>
    <w:p w14:paraId="00EC6C06" w14:textId="093E0936" w:rsidR="00C60BD6" w:rsidRPr="00A836B9" w:rsidRDefault="00C60BD6" w:rsidP="00C60BD6">
      <w:pPr>
        <w:numPr>
          <w:ilvl w:val="0"/>
          <w:numId w:val="6"/>
        </w:numPr>
      </w:pPr>
      <w:r w:rsidRPr="00A836B9">
        <w:t>public bodies</w:t>
      </w:r>
      <w:r w:rsidRPr="00A836B9">
        <w:rPr>
          <w:b/>
          <w:bCs/>
        </w:rPr>
        <w:t xml:space="preserve"> </w:t>
      </w:r>
      <w:r w:rsidRPr="00A836B9">
        <w:t xml:space="preserve">(entities established as </w:t>
      </w:r>
      <w:r w:rsidR="00715D5B" w:rsidRPr="00A836B9">
        <w:t xml:space="preserve">a </w:t>
      </w:r>
      <w:r w:rsidRPr="00A836B9">
        <w:t>public body under national law, including local, regional or national authorities)</w:t>
      </w:r>
      <w:r w:rsidRPr="00A836B9">
        <w:rPr>
          <w:b/>
          <w:bCs/>
        </w:rPr>
        <w:t xml:space="preserve"> </w:t>
      </w:r>
      <w:r w:rsidRPr="00A836B9">
        <w:t>or international organisations</w:t>
      </w:r>
      <w:r w:rsidR="00715D5B" w:rsidRPr="00A836B9">
        <w:t>;</w:t>
      </w:r>
      <w:r w:rsidRPr="00A836B9">
        <w:t xml:space="preserve"> and </w:t>
      </w:r>
    </w:p>
    <w:p w14:paraId="08F8C03B" w14:textId="77777777" w:rsidR="00C60BD6" w:rsidRPr="00A836B9" w:rsidRDefault="00C60BD6" w:rsidP="00C60BD6">
      <w:pPr>
        <w:numPr>
          <w:ilvl w:val="0"/>
          <w:numId w:val="6"/>
        </w:numPr>
      </w:pPr>
      <w:r w:rsidRPr="00A836B9">
        <w:t>cases where the individual requested grant amount is not more than EUR 60 000 (low-value grant).</w:t>
      </w:r>
    </w:p>
    <w:p w14:paraId="49F344B1" w14:textId="16168DBE" w:rsidR="00C60BD6" w:rsidRPr="00A836B9" w:rsidRDefault="00C60BD6" w:rsidP="00C60BD6">
      <w:r w:rsidRPr="00A836B9">
        <w:t>If needed, it may also be done for the other applicants</w:t>
      </w:r>
      <w:r w:rsidR="00715D5B" w:rsidRPr="00A836B9">
        <w:t>,</w:t>
      </w:r>
      <w:r w:rsidRPr="00A836B9">
        <w:t xml:space="preserve"> including affiliated entities. If the financial capacity is structurally guaranteed by another legal entity, the financial capacity of </w:t>
      </w:r>
      <w:r w:rsidR="00BA25B0" w:rsidRPr="00A836B9">
        <w:t>that legal entity</w:t>
      </w:r>
      <w:r w:rsidRPr="00A836B9">
        <w:t xml:space="preserve"> will be verified.</w:t>
      </w:r>
    </w:p>
    <w:p w14:paraId="149F148E" w14:textId="77777777" w:rsidR="00C60BD6" w:rsidRPr="00A836B9" w:rsidRDefault="00C60BD6" w:rsidP="00C60BD6">
      <w:r w:rsidRPr="00A836B9">
        <w:t>If the granting authority considers that the financial capacity is not satisfactory, they may require:</w:t>
      </w:r>
    </w:p>
    <w:p w14:paraId="35E44A14" w14:textId="2BF41677" w:rsidR="00C60BD6" w:rsidRPr="00A836B9" w:rsidRDefault="00C60BD6" w:rsidP="00C60BD6">
      <w:pPr>
        <w:numPr>
          <w:ilvl w:val="0"/>
          <w:numId w:val="6"/>
        </w:numPr>
      </w:pPr>
      <w:r w:rsidRPr="00A836B9">
        <w:t>further information</w:t>
      </w:r>
      <w:r w:rsidR="00715D5B" w:rsidRPr="00A836B9">
        <w:t>;</w:t>
      </w:r>
    </w:p>
    <w:p w14:paraId="11FAA77A" w14:textId="4E0E8F66" w:rsidR="00C60BD6" w:rsidRPr="00A836B9" w:rsidRDefault="00C60BD6" w:rsidP="00C60BD6">
      <w:pPr>
        <w:numPr>
          <w:ilvl w:val="0"/>
          <w:numId w:val="6"/>
        </w:numPr>
      </w:pPr>
      <w:r w:rsidRPr="00A836B9">
        <w:t xml:space="preserve">an enhanced financial responsibility regime, i.e. joint and several responsibility of affiliated entities </w:t>
      </w:r>
      <w:r w:rsidRPr="00A836B9">
        <w:rPr>
          <w:i/>
          <w:iCs/>
        </w:rPr>
        <w:t xml:space="preserve">(see </w:t>
      </w:r>
      <w:r w:rsidR="00C40DC9" w:rsidRPr="00A836B9">
        <w:rPr>
          <w:i/>
          <w:iCs/>
        </w:rPr>
        <w:t>Annex</w:t>
      </w:r>
      <w:r w:rsidRPr="00A836B9">
        <w:rPr>
          <w:i/>
          <w:iCs/>
        </w:rPr>
        <w:t xml:space="preserve"> G)</w:t>
      </w:r>
      <w:r w:rsidR="00715D5B" w:rsidRPr="00A836B9">
        <w:t>;</w:t>
      </w:r>
      <w:r w:rsidRPr="00A836B9">
        <w:t xml:space="preserve"> and</w:t>
      </w:r>
    </w:p>
    <w:p w14:paraId="57F7AE5D" w14:textId="4F939BFC" w:rsidR="00C60BD6" w:rsidRPr="00A836B9" w:rsidRDefault="00C60BD6" w:rsidP="00C60BD6">
      <w:pPr>
        <w:numPr>
          <w:ilvl w:val="0"/>
          <w:numId w:val="6"/>
        </w:numPr>
      </w:pPr>
      <w:r w:rsidRPr="00A836B9">
        <w:t>prefinancing paid in instalments</w:t>
      </w:r>
      <w:r w:rsidR="00715D5B" w:rsidRPr="00A836B9">
        <w:t>;</w:t>
      </w:r>
    </w:p>
    <w:p w14:paraId="53E904B8" w14:textId="77777777" w:rsidR="00C60BD6" w:rsidRPr="00A836B9" w:rsidRDefault="00C60BD6" w:rsidP="00C60BD6">
      <w:pPr>
        <w:ind w:left="360"/>
      </w:pPr>
      <w:r w:rsidRPr="00A836B9">
        <w:t>or</w:t>
      </w:r>
    </w:p>
    <w:p w14:paraId="2D66E601" w14:textId="368D3B52" w:rsidR="00C60BD6" w:rsidRPr="00A836B9" w:rsidRDefault="00C60BD6" w:rsidP="00C60BD6">
      <w:pPr>
        <w:numPr>
          <w:ilvl w:val="0"/>
          <w:numId w:val="6"/>
        </w:numPr>
      </w:pPr>
      <w:r w:rsidRPr="00A836B9">
        <w:t>propose no prefinancing</w:t>
      </w:r>
      <w:r w:rsidR="00715D5B" w:rsidRPr="00A836B9">
        <w:t>;</w:t>
      </w:r>
    </w:p>
    <w:p w14:paraId="5F928210" w14:textId="77777777" w:rsidR="00C60BD6" w:rsidRPr="00A836B9" w:rsidRDefault="00C60BD6" w:rsidP="00C60BD6">
      <w:pPr>
        <w:numPr>
          <w:ilvl w:val="0"/>
          <w:numId w:val="6"/>
        </w:numPr>
      </w:pPr>
      <w:r w:rsidRPr="00A836B9">
        <w:t>request that the applicant concerned is replaced or, if needed, reject the entire proposal.</w:t>
      </w:r>
    </w:p>
    <w:p w14:paraId="12948784" w14:textId="77777777" w:rsidR="00C60BD6" w:rsidRPr="00A836B9" w:rsidRDefault="00C60BD6" w:rsidP="00C60BD6">
      <w:r w:rsidRPr="00A836B9">
        <w:rPr>
          <w:noProof/>
        </w:rPr>
        <w:drawing>
          <wp:inline distT="0" distB="0" distL="0" distR="0" wp14:anchorId="73B6C343" wp14:editId="456DE058">
            <wp:extent cx="124460" cy="124460"/>
            <wp:effectExtent l="0" t="0" r="8890" b="8890"/>
            <wp:docPr id="13" name="Picture 13" descr="https://lh5.googleusercontent.com/-n5VVWXljoCs/T8X1egaB-BI/AAAAAAAAC1I/fLBP4VIzxQM/s16/infoIc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n5VVWXljoCs/T8X1egaB-BI/AAAAAAAAC1I/fLBP4VIzxQM/s16/infoIcon_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836B9">
        <w:t xml:space="preserve"> For more information, </w:t>
      </w:r>
      <w:r w:rsidRPr="00A836B9">
        <w:rPr>
          <w:i/>
          <w:iCs/>
        </w:rPr>
        <w:t xml:space="preserve">see </w:t>
      </w:r>
      <w:hyperlink r:id="rId20" w:history="1">
        <w:r w:rsidRPr="00A836B9">
          <w:rPr>
            <w:i/>
            <w:iCs/>
            <w:color w:val="0088CC"/>
            <w:u w:val="single"/>
          </w:rPr>
          <w:t>Rules on Legal Entity Validation, LEAR Appointment and Financial Capacity Assessment</w:t>
        </w:r>
      </w:hyperlink>
      <w:r w:rsidRPr="00A836B9">
        <w:t xml:space="preserve">. </w:t>
      </w:r>
    </w:p>
    <w:p w14:paraId="41B3E1C5" w14:textId="77777777" w:rsidR="00C60BD6" w:rsidRPr="00A836B9" w:rsidRDefault="00C60BD6" w:rsidP="490E705E">
      <w:pPr>
        <w:rPr>
          <w:b/>
          <w:bCs/>
          <w:i/>
          <w:iCs/>
          <w:u w:val="single"/>
        </w:rPr>
      </w:pPr>
      <w:r w:rsidRPr="00A836B9">
        <w:rPr>
          <w:b/>
          <w:bCs/>
          <w:i/>
          <w:iCs/>
          <w:u w:val="single"/>
        </w:rPr>
        <w:t>Operational capacity</w:t>
      </w:r>
    </w:p>
    <w:p w14:paraId="2CE90960" w14:textId="1FA0106D" w:rsidR="00C60BD6" w:rsidRPr="00A836B9" w:rsidRDefault="00C60BD6" w:rsidP="490E705E">
      <w:pPr>
        <w:rPr>
          <w:iCs/>
        </w:rPr>
      </w:pPr>
      <w:r w:rsidRPr="00A836B9">
        <w:t xml:space="preserve">Applicants must have the </w:t>
      </w:r>
      <w:r w:rsidRPr="00A836B9">
        <w:rPr>
          <w:b/>
          <w:bCs/>
        </w:rPr>
        <w:t xml:space="preserve">know-how, qualifications </w:t>
      </w:r>
      <w:r w:rsidRPr="00A836B9">
        <w:t>and</w:t>
      </w:r>
      <w:r w:rsidRPr="00A836B9">
        <w:rPr>
          <w:b/>
          <w:bCs/>
        </w:rPr>
        <w:t xml:space="preserve"> resources</w:t>
      </w:r>
      <w:r w:rsidRPr="00A836B9">
        <w:t xml:space="preserve"> to successfully implement their tasks in the project and contribute their share (including, when appropriate, sufficient experience in EU/transnational projects of comparable size). </w:t>
      </w:r>
    </w:p>
    <w:p w14:paraId="0319744E" w14:textId="10DB54CF" w:rsidR="00C60BD6" w:rsidRPr="00A836B9" w:rsidRDefault="00C60BD6" w:rsidP="490E705E">
      <w:pPr>
        <w:rPr>
          <w:iCs/>
        </w:rPr>
      </w:pPr>
      <w:r w:rsidRPr="00A836B9">
        <w:t xml:space="preserve">This assessment of operational capacity will be carried out during the evaluation of the award criterion </w:t>
      </w:r>
      <w:r w:rsidR="00715D5B" w:rsidRPr="00A836B9">
        <w:t>‘</w:t>
      </w:r>
      <w:r w:rsidRPr="00A836B9">
        <w:t>Quality and efficiency of the implementation’</w:t>
      </w:r>
      <w:r w:rsidR="00715D5B" w:rsidRPr="00A836B9">
        <w:t>. It will be based</w:t>
      </w:r>
      <w:r w:rsidRPr="00A836B9">
        <w:t xml:space="preserve"> on the competence and experience of the applicants and their project teams, including </w:t>
      </w:r>
      <w:r w:rsidR="00715D5B" w:rsidRPr="00A836B9">
        <w:t>their</w:t>
      </w:r>
      <w:r w:rsidRPr="00A836B9">
        <w:t xml:space="preserve"> operational resources (human, technical and other) or, exceptionally, the measures proposed to obtain </w:t>
      </w:r>
      <w:r w:rsidR="00715D5B" w:rsidRPr="00A836B9">
        <w:t>the necessary competence and experience</w:t>
      </w:r>
      <w:r w:rsidRPr="00A836B9">
        <w:t xml:space="preserve"> by the time </w:t>
      </w:r>
      <w:r w:rsidR="00715D5B" w:rsidRPr="00A836B9">
        <w:t>the tasks are</w:t>
      </w:r>
      <w:r w:rsidRPr="00A836B9">
        <w:t xml:space="preserve"> implement</w:t>
      </w:r>
      <w:r w:rsidR="00715D5B" w:rsidRPr="00A836B9">
        <w:t>ed</w:t>
      </w:r>
      <w:r w:rsidRPr="00A836B9">
        <w:t xml:space="preserve">. </w:t>
      </w:r>
    </w:p>
    <w:p w14:paraId="028F924E" w14:textId="1A11BAB5" w:rsidR="00C60BD6" w:rsidRPr="00A836B9" w:rsidRDefault="00C60BD6" w:rsidP="490E705E">
      <w:pPr>
        <w:rPr>
          <w:iCs/>
        </w:rPr>
      </w:pPr>
      <w:r w:rsidRPr="00A836B9">
        <w:t xml:space="preserve">If the evaluation of this award criterion leads </w:t>
      </w:r>
      <w:r w:rsidR="00CD33E3" w:rsidRPr="00A836B9">
        <w:t xml:space="preserve">to </w:t>
      </w:r>
      <w:r w:rsidRPr="00A836B9">
        <w:t>a score above the applicable threshold, then the applicants are considered to have sufficient operational capacity.</w:t>
      </w:r>
    </w:p>
    <w:p w14:paraId="58EC7621" w14:textId="4C32AEC9" w:rsidR="00C60BD6" w:rsidRPr="00A836B9" w:rsidRDefault="00C60BD6" w:rsidP="490E705E">
      <w:pPr>
        <w:rPr>
          <w:iCs/>
        </w:rPr>
      </w:pPr>
      <w:r w:rsidRPr="00A836B9">
        <w:t xml:space="preserve">For this assessment, applicants will be required to provide the following information in the </w:t>
      </w:r>
      <w:r w:rsidR="00C33EF0" w:rsidRPr="00A836B9">
        <w:t>a</w:t>
      </w:r>
      <w:r w:rsidRPr="00A836B9">
        <w:t xml:space="preserve">pplication </w:t>
      </w:r>
      <w:r w:rsidR="00C33EF0" w:rsidRPr="00A836B9">
        <w:t>f</w:t>
      </w:r>
      <w:r w:rsidRPr="00A836B9">
        <w:t>orm (Part B):</w:t>
      </w:r>
    </w:p>
    <w:p w14:paraId="027CBEE2" w14:textId="6DEB3C49" w:rsidR="00C60BD6" w:rsidRPr="00A836B9" w:rsidRDefault="00C60BD6" w:rsidP="490E705E">
      <w:pPr>
        <w:numPr>
          <w:ilvl w:val="0"/>
          <w:numId w:val="7"/>
        </w:numPr>
      </w:pPr>
      <w:r w:rsidRPr="00A836B9">
        <w:t>general profiles (qualifications and experience) of the staff responsible for managing and implementing the project</w:t>
      </w:r>
      <w:r w:rsidR="0026414C" w:rsidRPr="00A836B9">
        <w:t>;</w:t>
      </w:r>
    </w:p>
    <w:p w14:paraId="06B38958" w14:textId="7474AFC2" w:rsidR="00C60BD6" w:rsidRPr="00A836B9" w:rsidRDefault="00C60BD6" w:rsidP="490E705E">
      <w:pPr>
        <w:numPr>
          <w:ilvl w:val="0"/>
          <w:numId w:val="7"/>
        </w:numPr>
      </w:pPr>
      <w:r w:rsidRPr="00A836B9">
        <w:t>description of the consortium participants</w:t>
      </w:r>
      <w:r w:rsidR="0026414C" w:rsidRPr="00A836B9">
        <w:t>;</w:t>
      </w:r>
      <w:r w:rsidRPr="00A836B9">
        <w:t xml:space="preserve"> and </w:t>
      </w:r>
    </w:p>
    <w:p w14:paraId="30A8B303" w14:textId="5A487FDC" w:rsidR="00C60BD6" w:rsidRPr="00A836B9" w:rsidRDefault="00C60BD6" w:rsidP="490E705E">
      <w:pPr>
        <w:numPr>
          <w:ilvl w:val="0"/>
          <w:numId w:val="7"/>
        </w:numPr>
      </w:pPr>
      <w:r w:rsidRPr="00A836B9">
        <w:t>list of EU</w:t>
      </w:r>
      <w:r w:rsidR="00CD33E3" w:rsidRPr="00A836B9">
        <w:t>-</w:t>
      </w:r>
      <w:r w:rsidRPr="00A836B9">
        <w:t xml:space="preserve">funded actions/projects </w:t>
      </w:r>
      <w:r w:rsidR="0026414C" w:rsidRPr="00A836B9">
        <w:t>in</w:t>
      </w:r>
      <w:r w:rsidRPr="00A836B9">
        <w:t xml:space="preserve"> the last 4 years.</w:t>
      </w:r>
    </w:p>
    <w:p w14:paraId="52E853D8" w14:textId="2A5DF3CA" w:rsidR="00C60BD6" w:rsidRPr="00A836B9" w:rsidRDefault="00C60BD6" w:rsidP="490E705E">
      <w:pPr>
        <w:rPr>
          <w:iCs/>
        </w:rPr>
      </w:pPr>
      <w:r w:rsidRPr="00A836B9">
        <w:t xml:space="preserve">Additional supporting documents may be requested if </w:t>
      </w:r>
      <w:r w:rsidR="0026414C" w:rsidRPr="00A836B9">
        <w:t xml:space="preserve">they are </w:t>
      </w:r>
      <w:r w:rsidRPr="00A836B9">
        <w:t>needed to confirm the operational capacity of any applicant.</w:t>
      </w:r>
    </w:p>
    <w:p w14:paraId="35E5674A" w14:textId="77777777" w:rsidR="00C60BD6" w:rsidRPr="00A836B9" w:rsidRDefault="00C60BD6" w:rsidP="00C60BD6">
      <w:r w:rsidRPr="00A836B9">
        <w:t xml:space="preserve">Public bodies, Member State organisations and international organisations are exempted from the operational capacity check. </w:t>
      </w:r>
    </w:p>
    <w:p w14:paraId="3CB84D90" w14:textId="77777777" w:rsidR="00C60BD6" w:rsidRPr="00A836B9" w:rsidRDefault="00C60BD6" w:rsidP="490E705E">
      <w:pPr>
        <w:rPr>
          <w:b/>
          <w:bCs/>
          <w:i/>
          <w:iCs/>
          <w:u w:val="single"/>
        </w:rPr>
      </w:pPr>
      <w:r w:rsidRPr="00A836B9">
        <w:rPr>
          <w:b/>
          <w:bCs/>
          <w:i/>
          <w:iCs/>
          <w:u w:val="single"/>
        </w:rPr>
        <w:t>Exclusion</w:t>
      </w:r>
    </w:p>
    <w:p w14:paraId="05845253" w14:textId="471448C6" w:rsidR="00C60BD6" w:rsidRPr="00A836B9" w:rsidRDefault="00C60BD6" w:rsidP="490E705E">
      <w:pPr>
        <w:rPr>
          <w:iCs/>
        </w:rPr>
      </w:pPr>
      <w:r w:rsidRPr="00A836B9">
        <w:t xml:space="preserve">Applicants that are subject to </w:t>
      </w:r>
      <w:r w:rsidRPr="00A836B9">
        <w:rPr>
          <w:b/>
          <w:bCs/>
        </w:rPr>
        <w:t>EU administrative sanctions</w:t>
      </w:r>
      <w:r w:rsidRPr="00A836B9">
        <w:t xml:space="preserve"> (i.e. exclusion)</w:t>
      </w:r>
      <w:r w:rsidRPr="00A836B9">
        <w:rPr>
          <w:vertAlign w:val="superscript"/>
        </w:rPr>
        <w:footnoteReference w:id="15"/>
      </w:r>
      <w:r w:rsidRPr="00A836B9">
        <w:t xml:space="preserve"> or are in one of the following </w:t>
      </w:r>
      <w:r w:rsidRPr="00A836B9">
        <w:rPr>
          <w:b/>
          <w:bCs/>
        </w:rPr>
        <w:t>exclusion situations</w:t>
      </w:r>
      <w:r w:rsidRPr="00A836B9">
        <w:rPr>
          <w:b/>
          <w:bCs/>
          <w:vertAlign w:val="superscript"/>
        </w:rPr>
        <w:footnoteReference w:id="16"/>
      </w:r>
      <w:r w:rsidRPr="00A836B9">
        <w:t xml:space="preserve"> that bar them from receiving EU grants can NOT participate:</w:t>
      </w:r>
    </w:p>
    <w:p w14:paraId="4056F8CB" w14:textId="7038A719" w:rsidR="00C60BD6" w:rsidRPr="00A836B9" w:rsidRDefault="00C60BD6" w:rsidP="490E705E">
      <w:pPr>
        <w:numPr>
          <w:ilvl w:val="0"/>
          <w:numId w:val="7"/>
        </w:numPr>
      </w:pPr>
      <w:r w:rsidRPr="00A836B9">
        <w:t>bankruptcy, winding up, affairs administered by the courts, arrangement with creditors, suspended business activities or other similar procedures (including procedures for persons with unlimited liability for the applicant’s debts)</w:t>
      </w:r>
      <w:r w:rsidR="0026414C" w:rsidRPr="00A836B9">
        <w:t>;</w:t>
      </w:r>
    </w:p>
    <w:p w14:paraId="639357E4" w14:textId="486F5BC0" w:rsidR="00C60BD6" w:rsidRPr="00A836B9" w:rsidRDefault="00C60BD6" w:rsidP="490E705E">
      <w:pPr>
        <w:numPr>
          <w:ilvl w:val="0"/>
          <w:numId w:val="7"/>
        </w:numPr>
      </w:pPr>
      <w:r w:rsidRPr="00A836B9">
        <w:t>they are in breach of social security or tax obligations (including if done by persons with unlimited liability for the applicant’s debts)</w:t>
      </w:r>
      <w:r w:rsidR="0026414C" w:rsidRPr="00A836B9">
        <w:t>;</w:t>
      </w:r>
    </w:p>
    <w:p w14:paraId="269F9EFF" w14:textId="731F9D5A" w:rsidR="00C60BD6" w:rsidRPr="00A836B9" w:rsidRDefault="00C60BD6" w:rsidP="490E705E">
      <w:pPr>
        <w:numPr>
          <w:ilvl w:val="0"/>
          <w:numId w:val="7"/>
        </w:numPr>
      </w:pPr>
      <w:r w:rsidRPr="00A836B9">
        <w:t>they are guilty of grave professional misconduct (including if done by persons having powers of representation, decision-making or control, beneficial owners or persons who are essential for the award/implementation of the grant)</w:t>
      </w:r>
      <w:r w:rsidR="0026414C" w:rsidRPr="00A836B9">
        <w:t>;</w:t>
      </w:r>
      <w:r w:rsidRPr="00A836B9">
        <w:t xml:space="preserve"> </w:t>
      </w:r>
    </w:p>
    <w:p w14:paraId="54A355F5" w14:textId="1EE48646" w:rsidR="00C60BD6" w:rsidRPr="00A836B9" w:rsidRDefault="00C60BD6" w:rsidP="490E705E">
      <w:pPr>
        <w:numPr>
          <w:ilvl w:val="0"/>
          <w:numId w:val="7"/>
        </w:numPr>
      </w:pPr>
      <w:r w:rsidRPr="00A836B9">
        <w:t>they are guilty of fraud, corruption, having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 grant)</w:t>
      </w:r>
      <w:r w:rsidR="0026414C" w:rsidRPr="00A836B9">
        <w:t>;</w:t>
      </w:r>
    </w:p>
    <w:p w14:paraId="1925701F" w14:textId="5A168DE9" w:rsidR="00C60BD6" w:rsidRPr="00A836B9" w:rsidRDefault="00C60BD6" w:rsidP="490E705E">
      <w:pPr>
        <w:numPr>
          <w:ilvl w:val="0"/>
          <w:numId w:val="7"/>
        </w:numPr>
      </w:pPr>
      <w:r w:rsidRPr="00A836B9">
        <w:t xml:space="preserve">they have shown significant deficiencies in complying with </w:t>
      </w:r>
      <w:r w:rsidR="00CD33E3" w:rsidRPr="00A836B9">
        <w:t xml:space="preserve">their </w:t>
      </w:r>
      <w:r w:rsidRPr="00A836B9">
        <w:t>main obligations under an EU procurement contract, grant agreement, prize, expert contract, or similar (including if done by persons having powers of representation, decision</w:t>
      </w:r>
      <w:r w:rsidR="00CD33E3" w:rsidRPr="00A836B9">
        <w:t>-</w:t>
      </w:r>
      <w:r w:rsidRPr="00A836B9">
        <w:t>making or control, beneficial owners or persons who are essential for the award/implementation of the grant)</w:t>
      </w:r>
      <w:r w:rsidR="0026414C" w:rsidRPr="00A836B9">
        <w:t>;</w:t>
      </w:r>
    </w:p>
    <w:p w14:paraId="4C4B201D" w14:textId="2E4F1A1C" w:rsidR="00C60BD6" w:rsidRPr="00A836B9" w:rsidRDefault="00C60BD6" w:rsidP="490E705E">
      <w:pPr>
        <w:numPr>
          <w:ilvl w:val="0"/>
          <w:numId w:val="7"/>
        </w:numPr>
      </w:pPr>
      <w:r w:rsidRPr="00A836B9">
        <w:t xml:space="preserve">they are guilty of irregularities within the meaning of Article 1(2) of Regulation No </w:t>
      </w:r>
      <w:hyperlink r:id="rId21" w:history="1">
        <w:r w:rsidRPr="00A836B9">
          <w:rPr>
            <w:color w:val="0088CC"/>
            <w:u w:val="single"/>
          </w:rPr>
          <w:t>2988/95</w:t>
        </w:r>
      </w:hyperlink>
      <w:r w:rsidRPr="00A836B9">
        <w:t xml:space="preserve"> (including if done by persons having powers of representation, decision</w:t>
      </w:r>
      <w:r w:rsidR="00CD33E3" w:rsidRPr="00A836B9">
        <w:t>-</w:t>
      </w:r>
      <w:r w:rsidRPr="00A836B9">
        <w:t xml:space="preserve"> making or control, beneficial owners or persons who are essential for the award/implementation of the grant)</w:t>
      </w:r>
      <w:r w:rsidR="0026414C" w:rsidRPr="00A836B9">
        <w:t>;</w:t>
      </w:r>
      <w:r w:rsidRPr="00A836B9">
        <w:t xml:space="preserve"> or</w:t>
      </w:r>
    </w:p>
    <w:p w14:paraId="791BE3FB" w14:textId="2BA95E51" w:rsidR="00C60BD6" w:rsidRPr="00A836B9" w:rsidRDefault="00C60BD6" w:rsidP="490E705E">
      <w:pPr>
        <w:numPr>
          <w:ilvl w:val="0"/>
          <w:numId w:val="7"/>
        </w:numPr>
      </w:pPr>
      <w:r w:rsidRPr="00A836B9">
        <w:t>they have created under a different jurisdiction an entity with the intent to circumvent fiscal, social or other legal obligations in the country of origin or created another entity with this purpose (including if done by persons having powers of representation, decision</w:t>
      </w:r>
      <w:r w:rsidR="00CD33E3" w:rsidRPr="00A836B9">
        <w:t>-</w:t>
      </w:r>
      <w:r w:rsidRPr="00A836B9">
        <w:t>making or control, beneficial owners or persons who are essential for the award/implementation of the grant).</w:t>
      </w:r>
    </w:p>
    <w:p w14:paraId="3E060028" w14:textId="77777777" w:rsidR="00C60BD6" w:rsidRPr="00A836B9" w:rsidRDefault="00C60BD6" w:rsidP="00C60BD6">
      <w:r w:rsidRPr="00A836B9">
        <w:t>Applicants will also be refused if it turns out that</w:t>
      </w:r>
      <w:r w:rsidRPr="00A836B9">
        <w:rPr>
          <w:vertAlign w:val="superscript"/>
        </w:rPr>
        <w:footnoteReference w:id="17"/>
      </w:r>
      <w:r w:rsidRPr="00A836B9">
        <w:t xml:space="preserve">: </w:t>
      </w:r>
    </w:p>
    <w:p w14:paraId="0740CEA2" w14:textId="1B942178" w:rsidR="00C60BD6" w:rsidRPr="00A836B9" w:rsidRDefault="00C60BD6" w:rsidP="00C60BD6">
      <w:pPr>
        <w:numPr>
          <w:ilvl w:val="0"/>
          <w:numId w:val="8"/>
        </w:numPr>
      </w:pPr>
      <w:r w:rsidRPr="00A836B9">
        <w:t>during the award procedure they misrepresented information required as a condition for participating or failed to supply that information</w:t>
      </w:r>
      <w:r w:rsidR="0026414C" w:rsidRPr="00A836B9">
        <w:t>;</w:t>
      </w:r>
      <w:r w:rsidRPr="00A836B9">
        <w:t xml:space="preserve"> or </w:t>
      </w:r>
    </w:p>
    <w:p w14:paraId="5C43D6FF" w14:textId="77777777" w:rsidR="00C60BD6" w:rsidRPr="00A836B9" w:rsidRDefault="00C60BD6" w:rsidP="00C60BD6">
      <w:pPr>
        <w:numPr>
          <w:ilvl w:val="0"/>
          <w:numId w:val="8"/>
        </w:numPr>
      </w:pPr>
      <w:r w:rsidRPr="00A836B9">
        <w:t>they were previously involved in the preparation of the call and this entails a distortion of competition that cannot be remedied otherwise (conflict of interest).</w:t>
      </w:r>
    </w:p>
    <w:p w14:paraId="319BCCAE" w14:textId="77777777" w:rsidR="00C60BD6" w:rsidRPr="00A836B9" w:rsidRDefault="00C60BD6" w:rsidP="00C60BD6"/>
    <w:p w14:paraId="4107F319" w14:textId="77777777" w:rsidR="00C60BD6" w:rsidRPr="00A836B9" w:rsidRDefault="00C60BD6" w:rsidP="00C60BD6">
      <w:pPr>
        <w:jc w:val="left"/>
        <w:rPr>
          <w:rFonts w:eastAsiaTheme="majorEastAsia" w:cs="Times New Roman"/>
          <w:b/>
          <w:bCs/>
          <w:szCs w:val="28"/>
        </w:rPr>
      </w:pPr>
      <w:r w:rsidRPr="00A836B9">
        <w:br w:type="page"/>
      </w:r>
    </w:p>
    <w:p w14:paraId="6905CF49" w14:textId="77777777" w:rsidR="00C60BD6" w:rsidRPr="00A836B9" w:rsidRDefault="00C60BD6" w:rsidP="490E705E">
      <w:pPr>
        <w:keepNext/>
        <w:keepLines/>
        <w:spacing w:before="240" w:after="240"/>
        <w:outlineLvl w:val="1"/>
        <w:rPr>
          <w:rFonts w:eastAsiaTheme="majorEastAsia" w:cs="Times New Roman"/>
          <w:b/>
          <w:bCs/>
        </w:rPr>
      </w:pPr>
      <w:bookmarkStart w:id="8" w:name="_Toc66355170"/>
      <w:r w:rsidRPr="00A836B9">
        <w:rPr>
          <w:rFonts w:eastAsiaTheme="majorEastAsia" w:cs="Times New Roman"/>
          <w:b/>
          <w:bCs/>
        </w:rPr>
        <w:t>D — Award criteria</w:t>
      </w:r>
      <w:bookmarkEnd w:id="8"/>
    </w:p>
    <w:p w14:paraId="1EEE0F1E" w14:textId="77777777" w:rsidR="00C60BD6" w:rsidRPr="00A836B9" w:rsidRDefault="00C60BD6" w:rsidP="490E705E">
      <w:pPr>
        <w:rPr>
          <w:b/>
          <w:bCs/>
          <w:i/>
          <w:iCs/>
          <w:u w:val="single"/>
        </w:rPr>
      </w:pPr>
      <w:r w:rsidRPr="00A836B9">
        <w:rPr>
          <w:b/>
          <w:bCs/>
          <w:i/>
          <w:iCs/>
          <w:u w:val="single"/>
        </w:rPr>
        <w:t>Award criteria</w:t>
      </w:r>
    </w:p>
    <w:p w14:paraId="2DC6C572" w14:textId="08F4BBE5" w:rsidR="00C60BD6" w:rsidRPr="00A836B9" w:rsidRDefault="00C60BD6" w:rsidP="00C60BD6">
      <w:r w:rsidRPr="00A836B9">
        <w:t xml:space="preserve">If admissible and eligible, the proposals will be evaluated and ranked against the following </w:t>
      </w:r>
      <w:r w:rsidRPr="00A836B9">
        <w:rPr>
          <w:b/>
          <w:bCs/>
        </w:rPr>
        <w:t>award criteria</w:t>
      </w:r>
      <w:r w:rsidR="00CD33E3" w:rsidRPr="00A836B9">
        <w:rPr>
          <w:bCs/>
        </w:rPr>
        <w:t>,</w:t>
      </w:r>
      <w:r w:rsidRPr="00A836B9">
        <w:t xml:space="preserve"> depending on the type of action: </w:t>
      </w:r>
    </w:p>
    <w:tbl>
      <w:tblPr>
        <w:tblpPr w:leftFromText="180" w:rightFromText="180" w:vertAnchor="text" w:tblpX="358"/>
        <w:tblW w:w="5051"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1476"/>
        <w:gridCol w:w="2604"/>
        <w:gridCol w:w="2604"/>
        <w:gridCol w:w="2605"/>
      </w:tblGrid>
      <w:tr w:rsidR="00C60BD6" w:rsidRPr="00A836B9" w14:paraId="76797971" w14:textId="77777777" w:rsidTr="490E705E">
        <w:tc>
          <w:tcPr>
            <w:tcW w:w="794"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tcPr>
          <w:p w14:paraId="3D916E32" w14:textId="77777777" w:rsidR="00C60BD6" w:rsidRPr="00A836B9" w:rsidRDefault="00C60BD6" w:rsidP="00C60BD6">
            <w:pPr>
              <w:rPr>
                <w:b/>
                <w:bCs/>
                <w:sz w:val="22"/>
              </w:rPr>
            </w:pP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tcPr>
          <w:p w14:paraId="0F3D4E75" w14:textId="77777777" w:rsidR="00C60BD6" w:rsidRPr="00A836B9" w:rsidRDefault="00C60BD6" w:rsidP="490E705E">
            <w:pPr>
              <w:jc w:val="center"/>
              <w:rPr>
                <w:b/>
                <w:bCs/>
                <w:sz w:val="22"/>
              </w:rPr>
            </w:pPr>
            <w:r w:rsidRPr="00A836B9">
              <w:rPr>
                <w:b/>
                <w:bCs/>
                <w:sz w:val="22"/>
              </w:rPr>
              <w:t>Excellence</w:t>
            </w:r>
          </w:p>
          <w:p w14:paraId="3DF78D42" w14:textId="77777777" w:rsidR="00C60BD6" w:rsidRPr="00A836B9" w:rsidRDefault="00C60BD6" w:rsidP="00C60BD6">
            <w:pPr>
              <w:tabs>
                <w:tab w:val="center" w:pos="4536"/>
                <w:tab w:val="right" w:pos="9072"/>
              </w:tabs>
              <w:spacing w:after="120" w:line="259" w:lineRule="auto"/>
              <w:jc w:val="center"/>
              <w:rPr>
                <w:sz w:val="20"/>
                <w:szCs w:val="20"/>
              </w:rPr>
            </w:pPr>
            <w:r w:rsidRPr="00A836B9">
              <w:rPr>
                <w:sz w:val="20"/>
                <w:szCs w:val="20"/>
              </w:rPr>
              <w:t>(The following aspects will be taken into account, to the extent that the proposed work corresponds to the description in the work programme)</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tcPr>
          <w:p w14:paraId="5CF30400" w14:textId="77777777" w:rsidR="00C60BD6" w:rsidRPr="00A836B9" w:rsidRDefault="00C60BD6" w:rsidP="490E705E">
            <w:pPr>
              <w:jc w:val="center"/>
              <w:rPr>
                <w:b/>
                <w:bCs/>
                <w:sz w:val="22"/>
              </w:rPr>
            </w:pPr>
            <w:r w:rsidRPr="00A836B9">
              <w:rPr>
                <w:b/>
                <w:bCs/>
                <w:sz w:val="22"/>
              </w:rPr>
              <w:t>Impact</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71ED6AD5" w14:textId="074CAB2D" w:rsidR="00C60BD6" w:rsidRPr="00A836B9" w:rsidRDefault="00C60BD6" w:rsidP="490E705E">
            <w:pPr>
              <w:jc w:val="center"/>
              <w:rPr>
                <w:b/>
                <w:bCs/>
                <w:sz w:val="22"/>
              </w:rPr>
            </w:pPr>
            <w:r w:rsidRPr="00A836B9">
              <w:rPr>
                <w:b/>
                <w:bCs/>
                <w:sz w:val="22"/>
              </w:rPr>
              <w:t>Quality and efficiency of the implementation</w:t>
            </w:r>
          </w:p>
          <w:p w14:paraId="3C2870BB" w14:textId="77777777" w:rsidR="00C60BD6" w:rsidRPr="00A836B9" w:rsidRDefault="00C60BD6" w:rsidP="00C60BD6">
            <w:pPr>
              <w:jc w:val="center"/>
              <w:rPr>
                <w:b/>
                <w:bCs/>
                <w:sz w:val="22"/>
              </w:rPr>
            </w:pPr>
          </w:p>
        </w:tc>
      </w:tr>
      <w:tr w:rsidR="00C60BD6" w:rsidRPr="00A836B9" w14:paraId="1DC29938" w14:textId="77777777" w:rsidTr="490E705E">
        <w:tc>
          <w:tcPr>
            <w:tcW w:w="794"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hideMark/>
          </w:tcPr>
          <w:p w14:paraId="2D34D724" w14:textId="77777777" w:rsidR="00C60BD6" w:rsidRPr="00A836B9" w:rsidRDefault="00C60BD6" w:rsidP="490E705E">
            <w:pPr>
              <w:jc w:val="left"/>
              <w:rPr>
                <w:b/>
                <w:bCs/>
                <w:sz w:val="22"/>
              </w:rPr>
            </w:pPr>
            <w:r w:rsidRPr="00A836B9">
              <w:rPr>
                <w:b/>
                <w:bCs/>
                <w:sz w:val="22"/>
              </w:rPr>
              <w:t>Research and innovation actions (RIA)</w:t>
            </w:r>
          </w:p>
          <w:p w14:paraId="5F2E59EA" w14:textId="77777777" w:rsidR="00C60BD6" w:rsidRPr="00A836B9" w:rsidRDefault="00C60BD6" w:rsidP="490E705E">
            <w:pPr>
              <w:jc w:val="left"/>
              <w:rPr>
                <w:b/>
                <w:bCs/>
                <w:sz w:val="22"/>
              </w:rPr>
            </w:pPr>
            <w:r w:rsidRPr="00A836B9">
              <w:rPr>
                <w:b/>
                <w:bCs/>
                <w:sz w:val="22"/>
              </w:rPr>
              <w:t>Innovation actions (IA)</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308D0DE8" w14:textId="09E1445C" w:rsidR="000E6A20" w:rsidRPr="00A836B9" w:rsidRDefault="00C60BD6" w:rsidP="000E6A20">
            <w:pPr>
              <w:numPr>
                <w:ilvl w:val="0"/>
                <w:numId w:val="22"/>
              </w:numPr>
              <w:tabs>
                <w:tab w:val="center" w:pos="4536"/>
                <w:tab w:val="right" w:pos="9072"/>
              </w:tabs>
              <w:spacing w:after="120"/>
              <w:ind w:left="364"/>
              <w:jc w:val="left"/>
              <w:rPr>
                <w:bCs/>
                <w:sz w:val="22"/>
              </w:rPr>
            </w:pPr>
            <w:r w:rsidRPr="00A836B9">
              <w:rPr>
                <w:bCs/>
                <w:sz w:val="22"/>
              </w:rPr>
              <w:t>Clarity and pertinence of the project’s objectives, and the extent to which the proposed work is ambitious and goes beyond the state</w:t>
            </w:r>
            <w:r w:rsidR="00E36D22" w:rsidRPr="00A836B9">
              <w:rPr>
                <w:bCs/>
                <w:sz w:val="22"/>
              </w:rPr>
              <w:t xml:space="preserve"> </w:t>
            </w:r>
            <w:r w:rsidRPr="00A836B9">
              <w:rPr>
                <w:bCs/>
                <w:sz w:val="22"/>
              </w:rPr>
              <w:t>of</w:t>
            </w:r>
            <w:r w:rsidR="00E36D22" w:rsidRPr="00A836B9">
              <w:rPr>
                <w:bCs/>
                <w:sz w:val="22"/>
              </w:rPr>
              <w:t xml:space="preserve"> </w:t>
            </w:r>
            <w:r w:rsidRPr="00A836B9">
              <w:rPr>
                <w:bCs/>
                <w:sz w:val="22"/>
              </w:rPr>
              <w:t>the</w:t>
            </w:r>
            <w:r w:rsidR="00E36D22" w:rsidRPr="00A836B9">
              <w:rPr>
                <w:bCs/>
                <w:sz w:val="22"/>
              </w:rPr>
              <w:t xml:space="preserve"> </w:t>
            </w:r>
            <w:r w:rsidRPr="00A836B9">
              <w:rPr>
                <w:bCs/>
                <w:sz w:val="22"/>
              </w:rPr>
              <w:t>art.</w:t>
            </w:r>
          </w:p>
          <w:p w14:paraId="76F0A562" w14:textId="22084535" w:rsidR="00C60BD6" w:rsidRPr="00A836B9" w:rsidRDefault="00C60BD6" w:rsidP="000E6A20">
            <w:pPr>
              <w:numPr>
                <w:ilvl w:val="0"/>
                <w:numId w:val="22"/>
              </w:numPr>
              <w:tabs>
                <w:tab w:val="center" w:pos="4536"/>
                <w:tab w:val="right" w:pos="9072"/>
              </w:tabs>
              <w:spacing w:after="120"/>
              <w:ind w:left="364"/>
              <w:jc w:val="left"/>
              <w:rPr>
                <w:b/>
                <w:bCs/>
                <w:sz w:val="22"/>
              </w:rPr>
            </w:pPr>
            <w:r w:rsidRPr="00A836B9">
              <w:rPr>
                <w:bCs/>
                <w:sz w:val="22"/>
              </w:rPr>
              <w:t xml:space="preserve">Soundness of the proposed [for </w:t>
            </w:r>
            <w:r w:rsidR="00E36D22" w:rsidRPr="00A836B9">
              <w:rPr>
                <w:bCs/>
                <w:sz w:val="22"/>
              </w:rPr>
              <w:t xml:space="preserve">the </w:t>
            </w:r>
            <w:r w:rsidRPr="00A836B9">
              <w:rPr>
                <w:bCs/>
                <w:sz w:val="22"/>
              </w:rPr>
              <w:t>first stage: overall] methodology,</w:t>
            </w:r>
            <w:r w:rsidRPr="00A836B9">
              <w:rPr>
                <w:b/>
                <w:bCs/>
                <w:sz w:val="22"/>
              </w:rPr>
              <w:t xml:space="preserve"> </w:t>
            </w:r>
            <w:r w:rsidRPr="00A836B9">
              <w:rPr>
                <w:sz w:val="22"/>
              </w:rPr>
              <w:t>including the underlying concepts, models, assumptions, inter-disciplinary approaches, appropriate consideration of the gender dimension in research and innovation content,</w:t>
            </w:r>
            <w:r w:rsidR="008C170F" w:rsidRPr="00A836B9">
              <w:rPr>
                <w:sz w:val="22"/>
              </w:rPr>
              <w:t xml:space="preserve"> </w:t>
            </w:r>
            <w:r w:rsidR="003670CC" w:rsidRPr="00A836B9">
              <w:rPr>
                <w:sz w:val="22"/>
              </w:rPr>
              <w:t>and the quality of open science practices</w:t>
            </w:r>
            <w:r w:rsidR="00E36D22" w:rsidRPr="00A836B9">
              <w:rPr>
                <w:sz w:val="22"/>
              </w:rPr>
              <w:t>,</w:t>
            </w:r>
            <w:r w:rsidR="003670CC" w:rsidRPr="00A836B9">
              <w:rPr>
                <w:sz w:val="22"/>
              </w:rPr>
              <w:t xml:space="preserve"> including sharing and management of research outputs and engagement of citizens, civil society and end</w:t>
            </w:r>
            <w:r w:rsidR="006D5307" w:rsidRPr="00A836B9">
              <w:rPr>
                <w:sz w:val="22"/>
              </w:rPr>
              <w:t>-</w:t>
            </w:r>
            <w:r w:rsidR="003670CC" w:rsidRPr="00A836B9">
              <w:rPr>
                <w:sz w:val="22"/>
              </w:rPr>
              <w:t>users where appropriate.</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09059532" w14:textId="3253B62E" w:rsidR="00C60BD6" w:rsidRPr="00A836B9" w:rsidRDefault="00C60BD6" w:rsidP="490E705E">
            <w:pPr>
              <w:numPr>
                <w:ilvl w:val="0"/>
                <w:numId w:val="22"/>
              </w:numPr>
              <w:tabs>
                <w:tab w:val="center" w:pos="4536"/>
                <w:tab w:val="right" w:pos="9072"/>
              </w:tabs>
              <w:spacing w:after="120"/>
              <w:ind w:left="364"/>
              <w:jc w:val="left"/>
              <w:rPr>
                <w:bCs/>
                <w:sz w:val="22"/>
              </w:rPr>
            </w:pPr>
            <w:r w:rsidRPr="00A836B9">
              <w:rPr>
                <w:bCs/>
                <w:sz w:val="22"/>
              </w:rPr>
              <w:t xml:space="preserve">Credibility of the pathways to achieve the expected outcomes and impacts specified in the work programme, and the likely scale and significance of the contributions </w:t>
            </w:r>
            <w:r w:rsidR="006D5307" w:rsidRPr="00A836B9">
              <w:rPr>
                <w:bCs/>
                <w:sz w:val="22"/>
              </w:rPr>
              <w:t>from</w:t>
            </w:r>
            <w:r w:rsidRPr="00A836B9">
              <w:rPr>
                <w:bCs/>
                <w:sz w:val="22"/>
              </w:rPr>
              <w:t xml:space="preserve"> the project.</w:t>
            </w:r>
          </w:p>
          <w:p w14:paraId="3639448E" w14:textId="77777777"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Suitability and quality of the measures to maximise expected outcomes and impacts, as set out in the dissemination and exploitation plan, including communication activities.</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E07C790" w14:textId="77777777"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Quality and effectiveness of the work plan, assessment of risks, and appropriateness of the effort assigned to work packages, and the resources overall.</w:t>
            </w:r>
          </w:p>
          <w:p w14:paraId="1B7FC033" w14:textId="5A71E0F1"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 xml:space="preserve">Capacity and role of each participant, and </w:t>
            </w:r>
            <w:r w:rsidR="006D5307" w:rsidRPr="00A836B9">
              <w:rPr>
                <w:sz w:val="22"/>
              </w:rPr>
              <w:t xml:space="preserve">the </w:t>
            </w:r>
            <w:r w:rsidRPr="00A836B9">
              <w:rPr>
                <w:sz w:val="22"/>
              </w:rPr>
              <w:t>extent to which the consortium as a whole brings together the necessary expertise.</w:t>
            </w:r>
          </w:p>
          <w:p w14:paraId="0EFD12B0" w14:textId="77777777" w:rsidR="00C60BD6" w:rsidRPr="00A836B9" w:rsidRDefault="00C60BD6" w:rsidP="00C60BD6">
            <w:pPr>
              <w:tabs>
                <w:tab w:val="center" w:pos="4536"/>
                <w:tab w:val="right" w:pos="9072"/>
              </w:tabs>
              <w:spacing w:after="120"/>
              <w:ind w:left="364"/>
              <w:rPr>
                <w:sz w:val="22"/>
              </w:rPr>
            </w:pPr>
          </w:p>
        </w:tc>
      </w:tr>
      <w:tr w:rsidR="00C60BD6" w:rsidRPr="00A836B9" w14:paraId="3EFC43E0" w14:textId="77777777" w:rsidTr="490E705E">
        <w:tc>
          <w:tcPr>
            <w:tcW w:w="794"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hideMark/>
          </w:tcPr>
          <w:p w14:paraId="4D7CC46C" w14:textId="77777777" w:rsidR="00C60BD6" w:rsidRPr="00A836B9" w:rsidRDefault="00C60BD6" w:rsidP="490E705E">
            <w:pPr>
              <w:jc w:val="left"/>
              <w:rPr>
                <w:b/>
                <w:bCs/>
                <w:sz w:val="22"/>
                <w:vertAlign w:val="superscript"/>
              </w:rPr>
            </w:pPr>
            <w:r w:rsidRPr="00A836B9">
              <w:rPr>
                <w:b/>
                <w:bCs/>
                <w:sz w:val="22"/>
              </w:rPr>
              <w:t>Coordination and support actions (CSA)</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46883D39" w14:textId="742363AA" w:rsidR="00C60BD6" w:rsidRPr="00A836B9" w:rsidRDefault="00C60BD6" w:rsidP="490E705E">
            <w:pPr>
              <w:numPr>
                <w:ilvl w:val="0"/>
                <w:numId w:val="22"/>
              </w:numPr>
              <w:tabs>
                <w:tab w:val="center" w:pos="4536"/>
                <w:tab w:val="right" w:pos="9072"/>
              </w:tabs>
              <w:spacing w:after="120"/>
              <w:ind w:left="364"/>
              <w:jc w:val="left"/>
              <w:rPr>
                <w:bCs/>
                <w:sz w:val="22"/>
              </w:rPr>
            </w:pPr>
            <w:r w:rsidRPr="00A836B9">
              <w:rPr>
                <w:bCs/>
                <w:sz w:val="22"/>
              </w:rPr>
              <w:t>Clarity and pertinence of the project’s objectives.</w:t>
            </w:r>
          </w:p>
          <w:p w14:paraId="73A19350" w14:textId="65DDEA85" w:rsidR="00C60BD6" w:rsidRPr="00A836B9" w:rsidRDefault="00C60BD6" w:rsidP="490E705E">
            <w:pPr>
              <w:numPr>
                <w:ilvl w:val="0"/>
                <w:numId w:val="22"/>
              </w:numPr>
              <w:tabs>
                <w:tab w:val="center" w:pos="4536"/>
                <w:tab w:val="right" w:pos="9072"/>
              </w:tabs>
              <w:spacing w:after="120"/>
              <w:ind w:left="364"/>
              <w:jc w:val="left"/>
              <w:rPr>
                <w:sz w:val="22"/>
              </w:rPr>
            </w:pPr>
            <w:r w:rsidRPr="00A836B9">
              <w:rPr>
                <w:bCs/>
                <w:sz w:val="22"/>
              </w:rPr>
              <w:t>Quality of the proposed coordination and/or support measures</w:t>
            </w:r>
            <w:r w:rsidR="006D5307" w:rsidRPr="00A836B9">
              <w:rPr>
                <w:bCs/>
                <w:sz w:val="22"/>
              </w:rPr>
              <w:t>,</w:t>
            </w:r>
            <w:r w:rsidRPr="00A836B9">
              <w:rPr>
                <w:bCs/>
                <w:sz w:val="22"/>
              </w:rPr>
              <w:t xml:space="preserve"> including soundness of methodology.</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189D5B93" w14:textId="5080D7D4" w:rsidR="00C60BD6" w:rsidRPr="00A836B9" w:rsidRDefault="00C60BD6" w:rsidP="490E705E">
            <w:pPr>
              <w:numPr>
                <w:ilvl w:val="0"/>
                <w:numId w:val="22"/>
              </w:numPr>
              <w:tabs>
                <w:tab w:val="center" w:pos="4536"/>
                <w:tab w:val="right" w:pos="9072"/>
              </w:tabs>
              <w:spacing w:after="120"/>
              <w:ind w:left="364"/>
              <w:jc w:val="left"/>
              <w:rPr>
                <w:bCs/>
                <w:sz w:val="22"/>
              </w:rPr>
            </w:pPr>
            <w:r w:rsidRPr="00A836B9">
              <w:rPr>
                <w:bCs/>
                <w:sz w:val="22"/>
              </w:rPr>
              <w:t xml:space="preserve">Credibility of the pathways to achieve the expected outcomes and impacts specified in the work programme, and the likely scale and significance of the contributions </w:t>
            </w:r>
            <w:r w:rsidR="006D5307" w:rsidRPr="00A836B9">
              <w:rPr>
                <w:bCs/>
                <w:sz w:val="22"/>
              </w:rPr>
              <w:t>from</w:t>
            </w:r>
            <w:r w:rsidRPr="00A836B9">
              <w:rPr>
                <w:bCs/>
                <w:sz w:val="22"/>
              </w:rPr>
              <w:t xml:space="preserve"> the project.</w:t>
            </w:r>
          </w:p>
          <w:p w14:paraId="67CEE573" w14:textId="77777777"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Suitability and quality of the measures to maximise expected outcomes and impacts, as set out in the dissemination and exploitation plan, including communication activities.</w:t>
            </w:r>
          </w:p>
          <w:p w14:paraId="07455ED2" w14:textId="77777777" w:rsidR="00C60BD6" w:rsidRPr="00A836B9" w:rsidRDefault="00C60BD6" w:rsidP="00C60BD6">
            <w:pPr>
              <w:rPr>
                <w:sz w:val="22"/>
                <w:highlight w:val="yellow"/>
              </w:rPr>
            </w:pP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B53634D" w14:textId="77777777"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Quality and effectiveness of the work plan, assessment of risks, and appropriateness of the effort assigned to work packages, and the resources overall.</w:t>
            </w:r>
          </w:p>
          <w:p w14:paraId="19153F9E" w14:textId="7CC2060C"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 xml:space="preserve">Capacity and role of each participant, and </w:t>
            </w:r>
            <w:r w:rsidR="006D5307" w:rsidRPr="00A836B9">
              <w:rPr>
                <w:sz w:val="22"/>
              </w:rPr>
              <w:t xml:space="preserve">the </w:t>
            </w:r>
            <w:r w:rsidRPr="00A836B9">
              <w:rPr>
                <w:sz w:val="22"/>
              </w:rPr>
              <w:t>extent to which the consortium as a whole brings together the necessary expertise.</w:t>
            </w:r>
          </w:p>
          <w:p w14:paraId="5F363E2E" w14:textId="77777777" w:rsidR="00C60BD6" w:rsidRPr="00A836B9" w:rsidRDefault="00C60BD6" w:rsidP="00C60BD6">
            <w:pPr>
              <w:rPr>
                <w:sz w:val="22"/>
                <w:highlight w:val="yellow"/>
              </w:rPr>
            </w:pPr>
          </w:p>
        </w:tc>
      </w:tr>
      <w:tr w:rsidR="00C60BD6" w:rsidRPr="00A836B9" w14:paraId="335D88A8" w14:textId="77777777" w:rsidTr="490E705E">
        <w:tc>
          <w:tcPr>
            <w:tcW w:w="794"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tcPr>
          <w:p w14:paraId="6EC4C80E" w14:textId="77777777" w:rsidR="00C60BD6" w:rsidRPr="00A836B9" w:rsidRDefault="00C60BD6" w:rsidP="490E705E">
            <w:pPr>
              <w:jc w:val="left"/>
              <w:rPr>
                <w:b/>
                <w:bCs/>
                <w:sz w:val="22"/>
              </w:rPr>
            </w:pPr>
            <w:r w:rsidRPr="00A836B9">
              <w:rPr>
                <w:b/>
                <w:bCs/>
                <w:sz w:val="22"/>
              </w:rPr>
              <w:t>Programme co-fund actions (CoFund)</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71EC9343" w14:textId="2AE5F2EC" w:rsidR="000E6A20" w:rsidRPr="00A836B9" w:rsidRDefault="00C60BD6" w:rsidP="000E6A20">
            <w:pPr>
              <w:numPr>
                <w:ilvl w:val="0"/>
                <w:numId w:val="22"/>
              </w:numPr>
              <w:ind w:left="370"/>
              <w:jc w:val="left"/>
              <w:rPr>
                <w:sz w:val="22"/>
              </w:rPr>
            </w:pPr>
            <w:r w:rsidRPr="00A836B9">
              <w:rPr>
                <w:sz w:val="22"/>
              </w:rPr>
              <w:t>Clarity and pertinence of the project’s objectives, and the extent to which the proposed work is ambitious, and goes beyond the state of the art.</w:t>
            </w:r>
          </w:p>
          <w:p w14:paraId="2530E888" w14:textId="79E4C70A" w:rsidR="00C60BD6" w:rsidRPr="00A836B9" w:rsidRDefault="00C60BD6" w:rsidP="000E6A20">
            <w:pPr>
              <w:numPr>
                <w:ilvl w:val="0"/>
                <w:numId w:val="22"/>
              </w:numPr>
              <w:ind w:left="370"/>
              <w:jc w:val="left"/>
              <w:rPr>
                <w:sz w:val="22"/>
              </w:rPr>
            </w:pPr>
            <w:r w:rsidRPr="00A836B9">
              <w:rPr>
                <w:sz w:val="22"/>
              </w:rPr>
              <w:t>Soundness of the proposed methodology, including the underlying concepts, models, assumptions, inter-disciplinary approaches, appropriate consideration of the gender dimension in research and innovation content,</w:t>
            </w:r>
            <w:r w:rsidR="008C170F" w:rsidRPr="00A836B9">
              <w:rPr>
                <w:sz w:val="22"/>
              </w:rPr>
              <w:t xml:space="preserve"> </w:t>
            </w:r>
            <w:r w:rsidR="003670CC" w:rsidRPr="00A836B9">
              <w:rPr>
                <w:sz w:val="22"/>
              </w:rPr>
              <w:t>and the quality of open science practices</w:t>
            </w:r>
            <w:r w:rsidR="006D5307" w:rsidRPr="00A836B9">
              <w:rPr>
                <w:sz w:val="22"/>
              </w:rPr>
              <w:t>,</w:t>
            </w:r>
            <w:r w:rsidR="003670CC" w:rsidRPr="00A836B9">
              <w:rPr>
                <w:sz w:val="22"/>
              </w:rPr>
              <w:t xml:space="preserve"> including</w:t>
            </w:r>
            <w:r w:rsidR="008C170F" w:rsidRPr="00A836B9">
              <w:rPr>
                <w:sz w:val="22"/>
              </w:rPr>
              <w:t xml:space="preserve"> </w:t>
            </w:r>
            <w:r w:rsidR="003670CC" w:rsidRPr="00A836B9">
              <w:rPr>
                <w:sz w:val="22"/>
              </w:rPr>
              <w:t>sharing and management of research outputs</w:t>
            </w:r>
            <w:r w:rsidR="008C170F" w:rsidRPr="00A836B9">
              <w:rPr>
                <w:sz w:val="22"/>
              </w:rPr>
              <w:t xml:space="preserve"> </w:t>
            </w:r>
            <w:r w:rsidR="003670CC" w:rsidRPr="00A836B9">
              <w:rPr>
                <w:sz w:val="22"/>
              </w:rPr>
              <w:t>and engagement of citizens, civil society and end</w:t>
            </w:r>
            <w:r w:rsidR="006D5307" w:rsidRPr="00A836B9">
              <w:rPr>
                <w:sz w:val="22"/>
              </w:rPr>
              <w:t>-</w:t>
            </w:r>
            <w:r w:rsidR="003670CC" w:rsidRPr="00A836B9">
              <w:rPr>
                <w:sz w:val="22"/>
              </w:rPr>
              <w:t>users where appropriate.</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60556E7D" w14:textId="58B4C178"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 xml:space="preserve">Credibility of the pathways to achieve the expected outcomes and impacts specified in the work programme, and the likely scale and significance of the contributions </w:t>
            </w:r>
            <w:r w:rsidR="006D5307" w:rsidRPr="00A836B9">
              <w:rPr>
                <w:sz w:val="22"/>
              </w:rPr>
              <w:t>from</w:t>
            </w:r>
            <w:r w:rsidRPr="00A836B9">
              <w:rPr>
                <w:sz w:val="22"/>
              </w:rPr>
              <w:t xml:space="preserve"> the project.</w:t>
            </w:r>
          </w:p>
          <w:p w14:paraId="487C9D62" w14:textId="77777777"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Suitability and quality of the measures to maximise expected outcomes and impacts, as set out in the dissemination and exploitation plan, including communication activities.</w:t>
            </w:r>
          </w:p>
          <w:p w14:paraId="6FAE889F" w14:textId="77777777" w:rsidR="00C60BD6" w:rsidRPr="00A836B9" w:rsidRDefault="00C60BD6" w:rsidP="003670CC">
            <w:pPr>
              <w:ind w:left="318"/>
              <w:jc w:val="left"/>
              <w:rPr>
                <w:sz w:val="22"/>
                <w:highlight w:val="yellow"/>
              </w:rPr>
            </w:pP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5BC3BAB" w14:textId="77777777"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Quality and effectiveness of the work plan, assessment of risks, and appropriateness of the effort assigned to work packages, and the resources overall.</w:t>
            </w:r>
          </w:p>
          <w:p w14:paraId="7149C4FE" w14:textId="5DA2BD69" w:rsidR="00C60BD6" w:rsidRPr="00A836B9" w:rsidRDefault="00C60BD6" w:rsidP="490E705E">
            <w:pPr>
              <w:numPr>
                <w:ilvl w:val="0"/>
                <w:numId w:val="22"/>
              </w:numPr>
              <w:tabs>
                <w:tab w:val="center" w:pos="4536"/>
                <w:tab w:val="right" w:pos="9072"/>
              </w:tabs>
              <w:spacing w:after="120"/>
              <w:ind w:left="364"/>
              <w:jc w:val="left"/>
              <w:rPr>
                <w:sz w:val="22"/>
              </w:rPr>
            </w:pPr>
            <w:r w:rsidRPr="00A836B9">
              <w:rPr>
                <w:sz w:val="22"/>
              </w:rPr>
              <w:t xml:space="preserve">Capacity and role of each participant, and </w:t>
            </w:r>
            <w:r w:rsidR="006D5307" w:rsidRPr="00A836B9">
              <w:rPr>
                <w:sz w:val="22"/>
              </w:rPr>
              <w:t xml:space="preserve">the </w:t>
            </w:r>
            <w:r w:rsidRPr="00A836B9">
              <w:rPr>
                <w:sz w:val="22"/>
              </w:rPr>
              <w:t>extent to which the consortium as a whole brings together the necessary expertise.</w:t>
            </w:r>
          </w:p>
          <w:p w14:paraId="3617351E" w14:textId="77777777" w:rsidR="00C60BD6" w:rsidRPr="00A836B9" w:rsidRDefault="00C60BD6" w:rsidP="00C60BD6">
            <w:pPr>
              <w:ind w:left="361" w:hanging="361"/>
              <w:jc w:val="left"/>
              <w:rPr>
                <w:sz w:val="22"/>
                <w:highlight w:val="yellow"/>
              </w:rPr>
            </w:pPr>
          </w:p>
        </w:tc>
      </w:tr>
      <w:tr w:rsidR="00C60BD6" w:rsidRPr="00A836B9" w14:paraId="19EC7610" w14:textId="77777777" w:rsidTr="490E705E">
        <w:tc>
          <w:tcPr>
            <w:tcW w:w="794"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tcPr>
          <w:p w14:paraId="265056D2" w14:textId="5585FA90" w:rsidR="00C60BD6" w:rsidRPr="00A836B9" w:rsidRDefault="00C60BD6" w:rsidP="490E705E">
            <w:pPr>
              <w:jc w:val="left"/>
              <w:rPr>
                <w:b/>
                <w:bCs/>
                <w:sz w:val="22"/>
              </w:rPr>
            </w:pPr>
            <w:r w:rsidRPr="00A836B9">
              <w:rPr>
                <w:b/>
                <w:bCs/>
                <w:sz w:val="22"/>
              </w:rPr>
              <w:t>Innovation and market deployment action</w:t>
            </w:r>
            <w:r w:rsidR="00E36D22" w:rsidRPr="00A836B9">
              <w:rPr>
                <w:b/>
                <w:bCs/>
                <w:sz w:val="22"/>
              </w:rPr>
              <w:t>s</w:t>
            </w:r>
            <w:r w:rsidRPr="00A836B9">
              <w:rPr>
                <w:b/>
                <w:bCs/>
                <w:sz w:val="22"/>
              </w:rPr>
              <w:t xml:space="preserve"> (IMDA)</w:t>
            </w:r>
          </w:p>
        </w:tc>
        <w:tc>
          <w:tcPr>
            <w:tcW w:w="4206"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731F7C32" w14:textId="77777777" w:rsidR="00C60BD6" w:rsidRPr="00A836B9" w:rsidRDefault="00C60BD6" w:rsidP="490E705E">
            <w:pPr>
              <w:ind w:left="361" w:hanging="361"/>
              <w:jc w:val="left"/>
              <w:rPr>
                <w:i/>
                <w:iCs/>
                <w:sz w:val="22"/>
              </w:rPr>
            </w:pPr>
            <w:r w:rsidRPr="00A836B9">
              <w:rPr>
                <w:i/>
                <w:iCs/>
                <w:sz w:val="22"/>
              </w:rPr>
              <w:t>See the European Innovation Council Work Programme.</w:t>
            </w:r>
          </w:p>
        </w:tc>
      </w:tr>
      <w:tr w:rsidR="00C60BD6" w:rsidRPr="00A836B9" w14:paraId="1996787D" w14:textId="77777777" w:rsidTr="490E705E">
        <w:tc>
          <w:tcPr>
            <w:tcW w:w="794"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tcPr>
          <w:p w14:paraId="1F7A0CDF" w14:textId="77777777" w:rsidR="00C60BD6" w:rsidRPr="00A836B9" w:rsidRDefault="00C60BD6" w:rsidP="490E705E">
            <w:pPr>
              <w:jc w:val="left"/>
              <w:rPr>
                <w:b/>
                <w:bCs/>
                <w:sz w:val="22"/>
              </w:rPr>
            </w:pPr>
            <w:r w:rsidRPr="00A836B9">
              <w:rPr>
                <w:b/>
                <w:bCs/>
                <w:sz w:val="22"/>
              </w:rPr>
              <w:t>Training and mobility actions (TMA)</w:t>
            </w:r>
          </w:p>
        </w:tc>
        <w:tc>
          <w:tcPr>
            <w:tcW w:w="4206"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284C7E50" w14:textId="194B580C" w:rsidR="00C60BD6" w:rsidRPr="00A836B9" w:rsidRDefault="00C60BD6" w:rsidP="006D5307">
            <w:pPr>
              <w:ind w:left="361" w:hanging="361"/>
              <w:jc w:val="left"/>
              <w:rPr>
                <w:i/>
                <w:iCs/>
                <w:sz w:val="22"/>
              </w:rPr>
            </w:pPr>
            <w:r w:rsidRPr="00A836B9">
              <w:rPr>
                <w:i/>
                <w:iCs/>
                <w:sz w:val="22"/>
              </w:rPr>
              <w:t xml:space="preserve">See </w:t>
            </w:r>
            <w:r w:rsidRPr="009526CC">
              <w:rPr>
                <w:i/>
                <w:iCs/>
                <w:sz w:val="22"/>
              </w:rPr>
              <w:t>the Marie</w:t>
            </w:r>
            <w:r w:rsidRPr="00A836B9">
              <w:rPr>
                <w:i/>
                <w:iCs/>
                <w:sz w:val="22"/>
              </w:rPr>
              <w:t xml:space="preserve"> Skłodowska-Curie Actions Work Programme part.</w:t>
            </w:r>
          </w:p>
        </w:tc>
      </w:tr>
      <w:tr w:rsidR="00C60BD6" w:rsidRPr="00A836B9" w14:paraId="42494537" w14:textId="77777777" w:rsidTr="490E705E">
        <w:tc>
          <w:tcPr>
            <w:tcW w:w="794"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tcPr>
          <w:p w14:paraId="3C991A71" w14:textId="77777777" w:rsidR="00C60BD6" w:rsidRPr="004746B1" w:rsidRDefault="00C60BD6" w:rsidP="490E705E">
            <w:pPr>
              <w:rPr>
                <w:b/>
                <w:bCs/>
                <w:sz w:val="22"/>
                <w:lang w:val="fr-BE"/>
              </w:rPr>
            </w:pPr>
            <w:r w:rsidRPr="004746B1">
              <w:rPr>
                <w:b/>
                <w:bCs/>
                <w:sz w:val="22"/>
                <w:lang w:val="fr-BE"/>
              </w:rPr>
              <w:t>Pre-commercial procurement actions (PCP)</w:t>
            </w:r>
          </w:p>
          <w:p w14:paraId="58984262" w14:textId="77777777" w:rsidR="00C60BD6" w:rsidRPr="00A836B9" w:rsidRDefault="00C60BD6" w:rsidP="490E705E">
            <w:pPr>
              <w:rPr>
                <w:b/>
                <w:bCs/>
                <w:sz w:val="22"/>
              </w:rPr>
            </w:pPr>
            <w:r w:rsidRPr="00A836B9">
              <w:rPr>
                <w:b/>
                <w:bCs/>
                <w:sz w:val="22"/>
              </w:rPr>
              <w:t>Public procurement of innovative solutions actions (PPI)</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64378191" w14:textId="3886B95B" w:rsidR="00C60BD6" w:rsidRPr="00A836B9" w:rsidRDefault="00C60BD6" w:rsidP="490E705E">
            <w:pPr>
              <w:numPr>
                <w:ilvl w:val="0"/>
                <w:numId w:val="22"/>
              </w:numPr>
              <w:tabs>
                <w:tab w:val="center" w:pos="4536"/>
                <w:tab w:val="right" w:pos="9072"/>
              </w:tabs>
              <w:spacing w:after="120" w:line="240" w:lineRule="auto"/>
              <w:ind w:left="370"/>
              <w:jc w:val="left"/>
              <w:rPr>
                <w:sz w:val="22"/>
              </w:rPr>
            </w:pPr>
            <w:r w:rsidRPr="00A836B9">
              <w:rPr>
                <w:sz w:val="22"/>
              </w:rPr>
              <w:t>Clarity and pertinence of the objectives and the extent to which they are ambitious, and go beyond the state of the art in terms of the degree of innovation that is needed to satisfy the procurement need.</w:t>
            </w:r>
          </w:p>
          <w:p w14:paraId="40727AF5" w14:textId="77777777" w:rsidR="00C60BD6" w:rsidRPr="00A836B9" w:rsidRDefault="00C60BD6" w:rsidP="490E705E">
            <w:pPr>
              <w:numPr>
                <w:ilvl w:val="0"/>
                <w:numId w:val="22"/>
              </w:numPr>
              <w:tabs>
                <w:tab w:val="center" w:pos="4536"/>
                <w:tab w:val="right" w:pos="9072"/>
              </w:tabs>
              <w:spacing w:after="120" w:line="240" w:lineRule="auto"/>
              <w:ind w:left="370"/>
              <w:jc w:val="left"/>
              <w:rPr>
                <w:sz w:val="22"/>
              </w:rPr>
            </w:pPr>
            <w:r w:rsidRPr="00A836B9">
              <w:rPr>
                <w:sz w:val="22"/>
              </w:rPr>
              <w:t>Soundness of the proposed methodology, taking into account the underlying concepts and assumptions.</w:t>
            </w:r>
          </w:p>
          <w:p w14:paraId="02E3D655" w14:textId="77777777" w:rsidR="00C60BD6" w:rsidRPr="00A836B9" w:rsidRDefault="00C60BD6" w:rsidP="00C60BD6">
            <w:pPr>
              <w:tabs>
                <w:tab w:val="center" w:pos="4536"/>
                <w:tab w:val="right" w:pos="9072"/>
              </w:tabs>
              <w:spacing w:after="120" w:line="240" w:lineRule="auto"/>
              <w:jc w:val="left"/>
              <w:rPr>
                <w:sz w:val="22"/>
              </w:rPr>
            </w:pP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79A23FBC" w14:textId="67EEBC0E" w:rsidR="00C60BD6" w:rsidRPr="00A836B9" w:rsidRDefault="00C60BD6" w:rsidP="490E705E">
            <w:pPr>
              <w:numPr>
                <w:ilvl w:val="0"/>
                <w:numId w:val="22"/>
              </w:numPr>
              <w:tabs>
                <w:tab w:val="center" w:pos="4536"/>
                <w:tab w:val="right" w:pos="9072"/>
              </w:tabs>
              <w:spacing w:after="120" w:line="240" w:lineRule="auto"/>
              <w:ind w:left="318"/>
              <w:jc w:val="left"/>
              <w:rPr>
                <w:sz w:val="22"/>
              </w:rPr>
            </w:pPr>
            <w:r w:rsidRPr="00A836B9">
              <w:rPr>
                <w:sz w:val="22"/>
              </w:rPr>
              <w:t xml:space="preserve">Credibility </w:t>
            </w:r>
            <w:r w:rsidR="00E36D22" w:rsidRPr="00A836B9">
              <w:rPr>
                <w:sz w:val="22"/>
              </w:rPr>
              <w:t xml:space="preserve">of the pathways </w:t>
            </w:r>
            <w:r w:rsidRPr="00A836B9">
              <w:rPr>
                <w:sz w:val="22"/>
              </w:rPr>
              <w:t>to achieve the expected outcomes and impacts specified in the work programme.</w:t>
            </w:r>
          </w:p>
          <w:p w14:paraId="60740CBA" w14:textId="1E483B04" w:rsidR="00C60BD6" w:rsidRPr="00A836B9" w:rsidRDefault="00C60BD6" w:rsidP="490E705E">
            <w:pPr>
              <w:numPr>
                <w:ilvl w:val="0"/>
                <w:numId w:val="22"/>
              </w:numPr>
              <w:tabs>
                <w:tab w:val="center" w:pos="4536"/>
                <w:tab w:val="right" w:pos="9072"/>
              </w:tabs>
              <w:spacing w:after="120" w:line="240" w:lineRule="auto"/>
              <w:ind w:left="318"/>
              <w:jc w:val="left"/>
              <w:rPr>
                <w:sz w:val="22"/>
              </w:rPr>
            </w:pPr>
            <w:r w:rsidRPr="00A836B9">
              <w:rPr>
                <w:sz w:val="22"/>
              </w:rPr>
              <w:t>Suitability and quality of the measures to maximise expected outcomes and impacts, as set out in the dissemination and exploitation*</w:t>
            </w:r>
            <w:r w:rsidRPr="00A836B9">
              <w:rPr>
                <w:sz w:val="22"/>
                <w:vertAlign w:val="superscript"/>
              </w:rPr>
              <w:t xml:space="preserve"> </w:t>
            </w:r>
            <w:r w:rsidRPr="00A836B9">
              <w:rPr>
                <w:sz w:val="22"/>
              </w:rPr>
              <w:t>plan, including communication activities.</w:t>
            </w:r>
          </w:p>
          <w:p w14:paraId="5F192F09" w14:textId="70C91241" w:rsidR="00C60BD6" w:rsidRPr="00A836B9" w:rsidRDefault="00C60BD6" w:rsidP="006D5307">
            <w:pPr>
              <w:tabs>
                <w:tab w:val="center" w:pos="4536"/>
                <w:tab w:val="right" w:pos="9072"/>
              </w:tabs>
              <w:spacing w:after="0" w:line="240" w:lineRule="auto"/>
              <w:jc w:val="left"/>
              <w:rPr>
                <w:sz w:val="22"/>
              </w:rPr>
            </w:pPr>
          </w:p>
          <w:p w14:paraId="642E4296" w14:textId="695978B0" w:rsidR="00C60BD6" w:rsidRPr="00A836B9" w:rsidRDefault="00C60BD6" w:rsidP="006D5307">
            <w:pPr>
              <w:tabs>
                <w:tab w:val="center" w:pos="4536"/>
                <w:tab w:val="right" w:pos="9072"/>
              </w:tabs>
              <w:spacing w:after="120" w:line="240" w:lineRule="auto"/>
              <w:jc w:val="left"/>
              <w:rPr>
                <w:sz w:val="16"/>
                <w:szCs w:val="16"/>
              </w:rPr>
            </w:pPr>
            <w:r w:rsidRPr="00A836B9">
              <w:rPr>
                <w:sz w:val="16"/>
                <w:szCs w:val="16"/>
                <w:vertAlign w:val="superscript"/>
              </w:rPr>
              <w:t>*</w:t>
            </w:r>
            <w:r w:rsidRPr="00A836B9">
              <w:rPr>
                <w:sz w:val="16"/>
                <w:szCs w:val="16"/>
              </w:rPr>
              <w:t xml:space="preserve"> For PCP actions and PPI actions, the exploitation of results by the beneficiaries means primarily the use </w:t>
            </w:r>
            <w:r w:rsidR="006D5307" w:rsidRPr="00A836B9">
              <w:rPr>
                <w:sz w:val="16"/>
                <w:szCs w:val="16"/>
              </w:rPr>
              <w:t xml:space="preserve">that is made </w:t>
            </w:r>
            <w:r w:rsidRPr="00A836B9">
              <w:rPr>
                <w:sz w:val="16"/>
                <w:szCs w:val="16"/>
              </w:rPr>
              <w:t>of the innovative solutions by the procurers/end-users</w:t>
            </w:r>
            <w:r w:rsidR="006D5307" w:rsidRPr="00A836B9">
              <w:rPr>
                <w:sz w:val="16"/>
                <w:szCs w:val="16"/>
              </w:rPr>
              <w:t>. T</w:t>
            </w:r>
            <w:r w:rsidRPr="00A836B9">
              <w:rPr>
                <w:sz w:val="16"/>
                <w:szCs w:val="16"/>
              </w:rPr>
              <w:t xml:space="preserve">he manufacturing and sale of the innovative solutions </w:t>
            </w:r>
            <w:r w:rsidR="006D5307" w:rsidRPr="00A836B9">
              <w:rPr>
                <w:sz w:val="16"/>
                <w:szCs w:val="16"/>
              </w:rPr>
              <w:t>are</w:t>
            </w:r>
            <w:r w:rsidRPr="00A836B9">
              <w:rPr>
                <w:sz w:val="16"/>
                <w:szCs w:val="16"/>
              </w:rPr>
              <w:t xml:space="preserve"> performed by the suppliers of the solutions</w:t>
            </w:r>
            <w:r w:rsidR="006D5307" w:rsidRPr="00A836B9">
              <w:rPr>
                <w:sz w:val="16"/>
                <w:szCs w:val="16"/>
              </w:rPr>
              <w:t>,</w:t>
            </w:r>
            <w:r w:rsidRPr="00A836B9">
              <w:rPr>
                <w:sz w:val="16"/>
                <w:szCs w:val="16"/>
              </w:rPr>
              <w:t xml:space="preserve"> which are not beneficiaries but subcontractors.</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DBD57EC" w14:textId="75891B3D" w:rsidR="00C60BD6" w:rsidRPr="00A836B9" w:rsidRDefault="00C60BD6" w:rsidP="490E705E">
            <w:pPr>
              <w:numPr>
                <w:ilvl w:val="0"/>
                <w:numId w:val="22"/>
              </w:numPr>
              <w:tabs>
                <w:tab w:val="center" w:pos="4536"/>
                <w:tab w:val="right" w:pos="9072"/>
              </w:tabs>
              <w:spacing w:after="120" w:line="240" w:lineRule="auto"/>
              <w:ind w:left="497"/>
              <w:jc w:val="left"/>
              <w:rPr>
                <w:sz w:val="22"/>
              </w:rPr>
            </w:pPr>
            <w:r w:rsidRPr="00A836B9">
              <w:rPr>
                <w:sz w:val="22"/>
              </w:rPr>
              <w:t>Quality and effectiveness of the work plan, assessment of risks, and appropriateness of the effort assigned to work packages, and the resources overall</w:t>
            </w:r>
            <w:r w:rsidR="006D5307" w:rsidRPr="00A836B9">
              <w:rPr>
                <w:sz w:val="22"/>
              </w:rPr>
              <w:t>.</w:t>
            </w:r>
          </w:p>
          <w:p w14:paraId="43E2D3FF" w14:textId="6915006F" w:rsidR="00C60BD6" w:rsidRPr="00A836B9" w:rsidRDefault="00C60BD6" w:rsidP="490E705E">
            <w:pPr>
              <w:numPr>
                <w:ilvl w:val="0"/>
                <w:numId w:val="22"/>
              </w:numPr>
              <w:tabs>
                <w:tab w:val="center" w:pos="4536"/>
                <w:tab w:val="right" w:pos="9072"/>
              </w:tabs>
              <w:spacing w:after="120" w:line="240" w:lineRule="auto"/>
              <w:ind w:left="497"/>
              <w:jc w:val="left"/>
              <w:rPr>
                <w:sz w:val="22"/>
              </w:rPr>
            </w:pPr>
            <w:r w:rsidRPr="00A836B9">
              <w:rPr>
                <w:sz w:val="22"/>
              </w:rPr>
              <w:t xml:space="preserve">Capacity and role of each participant, and </w:t>
            </w:r>
            <w:r w:rsidR="006D5307" w:rsidRPr="00A836B9">
              <w:rPr>
                <w:sz w:val="22"/>
              </w:rPr>
              <w:t xml:space="preserve">the </w:t>
            </w:r>
            <w:r w:rsidRPr="00A836B9">
              <w:rPr>
                <w:sz w:val="22"/>
              </w:rPr>
              <w:t>extent to which the consortium as a whole brings together the necessary expertise.</w:t>
            </w:r>
          </w:p>
          <w:p w14:paraId="6FEBC09D" w14:textId="77777777" w:rsidR="00C60BD6" w:rsidRPr="00A836B9" w:rsidRDefault="00C60BD6" w:rsidP="00C60BD6">
            <w:pPr>
              <w:tabs>
                <w:tab w:val="center" w:pos="4536"/>
                <w:tab w:val="right" w:pos="9072"/>
              </w:tabs>
              <w:spacing w:after="120" w:line="240" w:lineRule="auto"/>
              <w:jc w:val="left"/>
              <w:rPr>
                <w:sz w:val="22"/>
              </w:rPr>
            </w:pPr>
          </w:p>
        </w:tc>
      </w:tr>
      <w:tr w:rsidR="00C60BD6" w:rsidRPr="00A836B9" w14:paraId="5862C4A0" w14:textId="77777777" w:rsidTr="490E705E">
        <w:tc>
          <w:tcPr>
            <w:tcW w:w="794"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0" w:type="dxa"/>
              <w:left w:w="108" w:type="dxa"/>
              <w:bottom w:w="0" w:type="dxa"/>
              <w:right w:w="108" w:type="dxa"/>
            </w:tcMar>
          </w:tcPr>
          <w:p w14:paraId="0FF12454" w14:textId="2877E88E" w:rsidR="00C60BD6" w:rsidRPr="00A836B9" w:rsidRDefault="00C60BD6" w:rsidP="490E705E">
            <w:pPr>
              <w:rPr>
                <w:b/>
                <w:bCs/>
                <w:sz w:val="22"/>
                <w:highlight w:val="yellow"/>
              </w:rPr>
            </w:pPr>
            <w:r w:rsidRPr="00A836B9">
              <w:rPr>
                <w:b/>
                <w:bCs/>
                <w:sz w:val="22"/>
              </w:rPr>
              <w:t>Framework Partnership Agreements (FPA)</w:t>
            </w: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310B59B9" w14:textId="0342E728" w:rsidR="00C60BD6" w:rsidRPr="00A836B9" w:rsidRDefault="00C60BD6" w:rsidP="490E705E">
            <w:pPr>
              <w:numPr>
                <w:ilvl w:val="0"/>
                <w:numId w:val="22"/>
              </w:numPr>
              <w:tabs>
                <w:tab w:val="center" w:pos="4536"/>
                <w:tab w:val="right" w:pos="9072"/>
              </w:tabs>
              <w:spacing w:after="120" w:line="240" w:lineRule="auto"/>
              <w:ind w:left="370"/>
              <w:jc w:val="left"/>
              <w:rPr>
                <w:sz w:val="22"/>
              </w:rPr>
            </w:pPr>
            <w:r w:rsidRPr="00A836B9">
              <w:rPr>
                <w:sz w:val="22"/>
              </w:rPr>
              <w:t>Clarity and pertinence of the project’s objectives.</w:t>
            </w:r>
          </w:p>
          <w:p w14:paraId="1B7DD252" w14:textId="77777777" w:rsidR="00C60BD6" w:rsidRPr="00A836B9" w:rsidRDefault="00C60BD6" w:rsidP="00C60BD6">
            <w:pPr>
              <w:tabs>
                <w:tab w:val="center" w:pos="4536"/>
                <w:tab w:val="right" w:pos="9072"/>
              </w:tabs>
              <w:spacing w:after="120" w:line="240" w:lineRule="auto"/>
              <w:jc w:val="left"/>
              <w:rPr>
                <w:sz w:val="22"/>
              </w:rPr>
            </w:pP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Mar>
              <w:top w:w="0" w:type="dxa"/>
              <w:left w:w="108" w:type="dxa"/>
              <w:bottom w:w="0" w:type="dxa"/>
              <w:right w:w="108" w:type="dxa"/>
            </w:tcMar>
          </w:tcPr>
          <w:p w14:paraId="44FA4B89" w14:textId="77777777" w:rsidR="00C60BD6" w:rsidRPr="00A836B9" w:rsidRDefault="00C60BD6" w:rsidP="490E705E">
            <w:pPr>
              <w:numPr>
                <w:ilvl w:val="0"/>
                <w:numId w:val="22"/>
              </w:numPr>
              <w:tabs>
                <w:tab w:val="center" w:pos="4536"/>
                <w:tab w:val="right" w:pos="9072"/>
              </w:tabs>
              <w:spacing w:after="120" w:line="240" w:lineRule="auto"/>
              <w:ind w:left="318"/>
              <w:jc w:val="left"/>
              <w:rPr>
                <w:sz w:val="22"/>
              </w:rPr>
            </w:pPr>
            <w:r w:rsidRPr="00A836B9">
              <w:rPr>
                <w:sz w:val="22"/>
              </w:rPr>
              <w:t>Credibility of the action plan of the FPA to achieve the expected outcomes and impacts specified in the work programme.</w:t>
            </w:r>
          </w:p>
          <w:p w14:paraId="5130A601" w14:textId="77777777" w:rsidR="00C60BD6" w:rsidRPr="00A836B9" w:rsidRDefault="00C60BD6" w:rsidP="00C60BD6">
            <w:pPr>
              <w:tabs>
                <w:tab w:val="center" w:pos="4536"/>
                <w:tab w:val="right" w:pos="9072"/>
              </w:tabs>
              <w:spacing w:after="120" w:line="240" w:lineRule="auto"/>
              <w:jc w:val="left"/>
              <w:rPr>
                <w:sz w:val="22"/>
              </w:rPr>
            </w:pPr>
          </w:p>
        </w:tc>
        <w:tc>
          <w:tcPr>
            <w:tcW w:w="140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25D4908" w14:textId="7A110501" w:rsidR="00C60BD6" w:rsidRPr="00A836B9" w:rsidRDefault="00C60BD6" w:rsidP="490E705E">
            <w:pPr>
              <w:numPr>
                <w:ilvl w:val="0"/>
                <w:numId w:val="22"/>
              </w:numPr>
              <w:tabs>
                <w:tab w:val="center" w:pos="4536"/>
                <w:tab w:val="right" w:pos="9072"/>
              </w:tabs>
              <w:spacing w:after="120" w:line="240" w:lineRule="auto"/>
              <w:ind w:left="497"/>
              <w:jc w:val="left"/>
              <w:rPr>
                <w:sz w:val="22"/>
              </w:rPr>
            </w:pPr>
            <w:r w:rsidRPr="00A836B9">
              <w:rPr>
                <w:sz w:val="22"/>
              </w:rPr>
              <w:t xml:space="preserve">Capacity and role of each participant, and </w:t>
            </w:r>
            <w:r w:rsidR="006D5307" w:rsidRPr="00A836B9">
              <w:rPr>
                <w:sz w:val="22"/>
              </w:rPr>
              <w:t xml:space="preserve">the </w:t>
            </w:r>
            <w:r w:rsidRPr="00A836B9">
              <w:rPr>
                <w:sz w:val="22"/>
              </w:rPr>
              <w:t>extent to which the consortium as a whole brings together the necessary expertise.</w:t>
            </w:r>
          </w:p>
          <w:p w14:paraId="07A4CD40" w14:textId="1B2169A7" w:rsidR="00C60BD6" w:rsidRPr="00A836B9" w:rsidRDefault="00C60BD6" w:rsidP="00C60BD6">
            <w:pPr>
              <w:numPr>
                <w:ilvl w:val="0"/>
                <w:numId w:val="22"/>
              </w:numPr>
              <w:tabs>
                <w:tab w:val="center" w:pos="4536"/>
                <w:tab w:val="right" w:pos="9072"/>
              </w:tabs>
              <w:spacing w:after="120" w:line="240" w:lineRule="auto"/>
              <w:ind w:left="497"/>
              <w:jc w:val="left"/>
              <w:rPr>
                <w:sz w:val="22"/>
              </w:rPr>
            </w:pPr>
            <w:r w:rsidRPr="00A836B9">
              <w:rPr>
                <w:sz w:val="22"/>
              </w:rPr>
              <w:t>Potential for long</w:t>
            </w:r>
            <w:r w:rsidR="006D5307" w:rsidRPr="00A836B9">
              <w:rPr>
                <w:sz w:val="22"/>
              </w:rPr>
              <w:t>-</w:t>
            </w:r>
            <w:r w:rsidRPr="00A836B9">
              <w:rPr>
                <w:sz w:val="22"/>
              </w:rPr>
              <w:t>term cooperation among participants.</w:t>
            </w:r>
          </w:p>
        </w:tc>
      </w:tr>
    </w:tbl>
    <w:p w14:paraId="7AF38299" w14:textId="77777777" w:rsidR="00C60BD6" w:rsidRPr="00A836B9" w:rsidRDefault="00C60BD6" w:rsidP="490E705E">
      <w:pPr>
        <w:rPr>
          <w:b/>
          <w:bCs/>
          <w:i/>
          <w:iCs/>
          <w:u w:val="single"/>
        </w:rPr>
      </w:pPr>
      <w:r w:rsidRPr="00A836B9">
        <w:rPr>
          <w:b/>
          <w:bCs/>
          <w:i/>
          <w:iCs/>
          <w:u w:val="single"/>
        </w:rPr>
        <w:t>Scores and weighting</w:t>
      </w:r>
    </w:p>
    <w:p w14:paraId="6AE620AA" w14:textId="77777777" w:rsidR="00C60BD6" w:rsidRPr="00A836B9" w:rsidRDefault="00C60BD6" w:rsidP="00C60BD6">
      <w:r w:rsidRPr="00A836B9">
        <w:t xml:space="preserve">Evaluation scores will be awarded for the criteria, and not for the different aspects listed in the table. For full applications, each criterion will be scored out of 5. The threshold for individual criteria will be 3. The overall threshold, applying to the sum of the three individual scores, will be 10. </w:t>
      </w:r>
    </w:p>
    <w:p w14:paraId="198007FB" w14:textId="6BDEEBE1" w:rsidR="00C60BD6" w:rsidRPr="00A836B9" w:rsidRDefault="00C60BD6" w:rsidP="00C60BD6">
      <w:r w:rsidRPr="00A836B9">
        <w:t xml:space="preserve">To determine the ranking for </w:t>
      </w:r>
      <w:r w:rsidR="003F59C8">
        <w:t>‘</w:t>
      </w:r>
      <w:r w:rsidRPr="00A836B9">
        <w:t>Innovation actions</w:t>
      </w:r>
      <w:r w:rsidR="003F59C8">
        <w:t>’</w:t>
      </w:r>
      <w:r w:rsidRPr="00A836B9">
        <w:t xml:space="preserve">, the score for ‘Impact’ will be given a weight of 1.5. </w:t>
      </w:r>
    </w:p>
    <w:p w14:paraId="5FBEE327" w14:textId="620C0A20" w:rsidR="00C60BD6" w:rsidRPr="00A836B9" w:rsidRDefault="00C60BD6" w:rsidP="00C60BD6">
      <w:r w:rsidRPr="00A836B9">
        <w:t>Proposals that pass the individual threshold AND the overall threshold will be considered for funding</w:t>
      </w:r>
      <w:r w:rsidR="006D5307" w:rsidRPr="00A836B9">
        <w:t>,</w:t>
      </w:r>
      <w:r w:rsidRPr="00A836B9">
        <w:t xml:space="preserve"> within the limits of the available call budget. Other proposals will be rejected. </w:t>
      </w:r>
    </w:p>
    <w:p w14:paraId="79421FDE" w14:textId="77777777" w:rsidR="00F5452C" w:rsidRPr="00CA05D1" w:rsidRDefault="00C60BD6" w:rsidP="00C60BD6">
      <w:pPr>
        <w:rPr>
          <w:b/>
          <w:bCs/>
          <w:i/>
          <w:iCs/>
          <w:u w:val="single"/>
        </w:rPr>
      </w:pPr>
      <w:r w:rsidRPr="00CA05D1">
        <w:rPr>
          <w:b/>
          <w:bCs/>
          <w:i/>
          <w:iCs/>
          <w:u w:val="single"/>
        </w:rPr>
        <w:t>Two-stage calls</w:t>
      </w:r>
    </w:p>
    <w:p w14:paraId="5D6D7D1B" w14:textId="32FF63A3" w:rsidR="00F5452C" w:rsidRPr="00A836B9" w:rsidRDefault="00C60BD6" w:rsidP="00C60BD6">
      <w:r w:rsidRPr="00A836B9">
        <w:t xml:space="preserve">For the evaluation of first-stage applications under a two-stage submission procedure, only the ‘Excellence’ and ‘Impact’ </w:t>
      </w:r>
      <w:r w:rsidR="00CE0D57" w:rsidRPr="00A836B9">
        <w:t xml:space="preserve">criteria </w:t>
      </w:r>
      <w:r w:rsidRPr="00A836B9">
        <w:t xml:space="preserve">will be evaluated. Within these criteria, only the aspects in bold will be considered. </w:t>
      </w:r>
    </w:p>
    <w:p w14:paraId="391D2722" w14:textId="028E1AA7" w:rsidR="00C60BD6" w:rsidRPr="00A836B9" w:rsidRDefault="00C60BD6" w:rsidP="00C60BD6">
      <w:r w:rsidRPr="00A836B9">
        <w:t xml:space="preserve">The threshold for both individual criteria will be 4. For each indicative budget-split in the call conditions, the overall threshold applying to the sum of the two individual scores will be set at a level </w:t>
      </w:r>
      <w:r w:rsidR="00F5452C" w:rsidRPr="00A836B9">
        <w:t xml:space="preserve">that </w:t>
      </w:r>
      <w:r w:rsidRPr="00A836B9">
        <w:t>ensur</w:t>
      </w:r>
      <w:r w:rsidR="00F5452C" w:rsidRPr="00A836B9">
        <w:t>es</w:t>
      </w:r>
      <w:r w:rsidRPr="00A836B9">
        <w:t xml:space="preserve"> the total requested budget of proposals admitted to stage 2 is as close as possible to three times the available budget, and not less than two and a half times the available budget. The actual level will therefore depend on the volume of proposals received. The threshold is expected normally </w:t>
      </w:r>
      <w:r w:rsidR="00E36D22" w:rsidRPr="00A836B9">
        <w:t xml:space="preserve">to </w:t>
      </w:r>
      <w:r w:rsidRPr="00A836B9">
        <w:t xml:space="preserve">be set at 8 or 8.5. </w:t>
      </w:r>
    </w:p>
    <w:p w14:paraId="2E7326A2" w14:textId="31FBBDC7" w:rsidR="00C60BD6" w:rsidRPr="00A836B9" w:rsidRDefault="00C60BD6" w:rsidP="00C60BD6">
      <w:r w:rsidRPr="00A836B9">
        <w:t xml:space="preserve">The evaluation procedure is explained further in </w:t>
      </w:r>
      <w:r w:rsidR="00C40DC9" w:rsidRPr="00A836B9">
        <w:rPr>
          <w:i/>
          <w:iCs/>
        </w:rPr>
        <w:t>Annex</w:t>
      </w:r>
      <w:r w:rsidRPr="00A836B9">
        <w:rPr>
          <w:i/>
          <w:iCs/>
        </w:rPr>
        <w:t xml:space="preserve"> F</w:t>
      </w:r>
      <w:r w:rsidRPr="00A836B9">
        <w:t>.</w:t>
      </w:r>
    </w:p>
    <w:p w14:paraId="129DE22E" w14:textId="77777777" w:rsidR="00C60BD6" w:rsidRPr="00A836B9" w:rsidRDefault="00C60BD6" w:rsidP="00C60BD6"/>
    <w:p w14:paraId="4DFAC392" w14:textId="77777777" w:rsidR="00C60BD6" w:rsidRPr="00A836B9" w:rsidRDefault="00C60BD6" w:rsidP="00C60BD6"/>
    <w:p w14:paraId="282D8F1C" w14:textId="77777777" w:rsidR="00C60BD6" w:rsidRPr="00A836B9" w:rsidRDefault="00C60BD6" w:rsidP="00C60BD6"/>
    <w:p w14:paraId="76D7DB31" w14:textId="77777777" w:rsidR="00C60BD6" w:rsidRPr="00A836B9" w:rsidRDefault="00C60BD6" w:rsidP="00C60BD6"/>
    <w:p w14:paraId="16952469" w14:textId="77777777" w:rsidR="00C60BD6" w:rsidRPr="00A836B9" w:rsidRDefault="00C60BD6" w:rsidP="00C60BD6">
      <w:pPr>
        <w:jc w:val="left"/>
      </w:pPr>
      <w:r w:rsidRPr="00A836B9">
        <w:br w:type="page"/>
      </w:r>
    </w:p>
    <w:p w14:paraId="72A299F2" w14:textId="77777777" w:rsidR="00C60BD6" w:rsidRPr="00A836B9" w:rsidRDefault="00C60BD6" w:rsidP="490E705E">
      <w:pPr>
        <w:keepNext/>
        <w:keepLines/>
        <w:spacing w:before="240" w:after="240"/>
        <w:outlineLvl w:val="1"/>
        <w:rPr>
          <w:rFonts w:eastAsiaTheme="majorEastAsia" w:cs="Times New Roman"/>
          <w:b/>
          <w:bCs/>
        </w:rPr>
      </w:pPr>
      <w:bookmarkStart w:id="9" w:name="_Toc66355171"/>
      <w:r w:rsidRPr="00A836B9">
        <w:rPr>
          <w:rFonts w:eastAsiaTheme="majorEastAsia" w:cs="Times New Roman"/>
          <w:b/>
          <w:bCs/>
        </w:rPr>
        <w:t>E — Documents</w:t>
      </w:r>
      <w:bookmarkEnd w:id="9"/>
    </w:p>
    <w:p w14:paraId="62F8D5E5" w14:textId="77777777" w:rsidR="00C60BD6" w:rsidRPr="00A836B9" w:rsidRDefault="00C60BD6" w:rsidP="490E705E">
      <w:pPr>
        <w:rPr>
          <w:b/>
          <w:bCs/>
          <w:i/>
          <w:iCs/>
          <w:u w:val="single"/>
        </w:rPr>
      </w:pPr>
      <w:r w:rsidRPr="00A836B9">
        <w:rPr>
          <w:b/>
          <w:bCs/>
          <w:i/>
          <w:iCs/>
          <w:u w:val="single"/>
        </w:rPr>
        <w:t>Submission</w:t>
      </w:r>
    </w:p>
    <w:p w14:paraId="7F328B21" w14:textId="6159D942" w:rsidR="00C60BD6" w:rsidRPr="00A836B9" w:rsidRDefault="00C60BD6" w:rsidP="00C60BD6">
      <w:r w:rsidRPr="00A836B9">
        <w:t xml:space="preserve">All proposals must be submitted </w:t>
      </w:r>
      <w:r w:rsidRPr="00A836B9">
        <w:rPr>
          <w:b/>
          <w:bCs/>
        </w:rPr>
        <w:t>electronically</w:t>
      </w:r>
      <w:r w:rsidRPr="00A836B9">
        <w:t xml:space="preserve"> via the Funders &amp; Tenders Portal </w:t>
      </w:r>
      <w:r w:rsidR="00E36D22" w:rsidRPr="00A836B9">
        <w:t>e</w:t>
      </w:r>
      <w:r w:rsidRPr="00A836B9">
        <w:t xml:space="preserve">lectronic </w:t>
      </w:r>
      <w:r w:rsidR="00E36D22" w:rsidRPr="00A836B9">
        <w:t>s</w:t>
      </w:r>
      <w:r w:rsidRPr="00A836B9">
        <w:t xml:space="preserve">ubmission </w:t>
      </w:r>
      <w:r w:rsidR="00E36D22" w:rsidRPr="00A836B9">
        <w:t>s</w:t>
      </w:r>
      <w:r w:rsidRPr="00A836B9">
        <w:t xml:space="preserve">ystem (accessible via the topic page in the </w:t>
      </w:r>
      <w:hyperlink r:id="rId22" w:history="1">
        <w:r w:rsidRPr="00A836B9">
          <w:rPr>
            <w:color w:val="0088CC"/>
            <w:u w:val="single"/>
          </w:rPr>
          <w:t>Search Funding &amp; Tenders</w:t>
        </w:r>
      </w:hyperlink>
      <w:r w:rsidRPr="00A836B9">
        <w:rPr>
          <w:color w:val="0088CC"/>
        </w:rPr>
        <w:t xml:space="preserve"> </w:t>
      </w:r>
      <w:r w:rsidRPr="00A836B9">
        <w:t>section). Paper submissions are NOT possible.</w:t>
      </w:r>
    </w:p>
    <w:p w14:paraId="51106221" w14:textId="42152C06" w:rsidR="00C60BD6" w:rsidRPr="00A836B9" w:rsidRDefault="00C60BD6" w:rsidP="00C60BD6">
      <w:r w:rsidRPr="00A836B9">
        <w:t xml:space="preserve">Proposals must be </w:t>
      </w:r>
      <w:r w:rsidRPr="00A836B9">
        <w:rPr>
          <w:b/>
          <w:bCs/>
        </w:rPr>
        <w:t>complete</w:t>
      </w:r>
      <w:r w:rsidRPr="00A836B9">
        <w:t xml:space="preserve"> and contain all parts and mandatory </w:t>
      </w:r>
      <w:r w:rsidR="00C40DC9" w:rsidRPr="00A836B9">
        <w:t>annex</w:t>
      </w:r>
      <w:r w:rsidRPr="00A836B9">
        <w:t>es and supporting documents, e.g.</w:t>
      </w:r>
      <w:r w:rsidRPr="00A836B9">
        <w:rPr>
          <w:color w:val="000000"/>
        </w:rPr>
        <w:t xml:space="preserve"> plan for the exploitation and dissemination of the results, etc</w:t>
      </w:r>
      <w:r w:rsidRPr="00A836B9">
        <w:t>.</w:t>
      </w:r>
    </w:p>
    <w:p w14:paraId="7C91709D" w14:textId="7E9089D8" w:rsidR="00C60BD6" w:rsidRPr="00A836B9" w:rsidRDefault="00C60BD6" w:rsidP="00C60BD6">
      <w:r w:rsidRPr="00A836B9">
        <w:t xml:space="preserve">The </w:t>
      </w:r>
      <w:r w:rsidR="00C33EF0" w:rsidRPr="00A836B9">
        <w:t>a</w:t>
      </w:r>
      <w:r w:rsidRPr="00A836B9">
        <w:t xml:space="preserve">pplication </w:t>
      </w:r>
      <w:r w:rsidR="00C33EF0" w:rsidRPr="00A836B9">
        <w:t>f</w:t>
      </w:r>
      <w:r w:rsidRPr="00A836B9">
        <w:t>orm will have two parts:</w:t>
      </w:r>
    </w:p>
    <w:p w14:paraId="729A3510" w14:textId="017B77B7" w:rsidR="00C60BD6" w:rsidRPr="00A836B9" w:rsidRDefault="00C60BD6" w:rsidP="00C60BD6">
      <w:pPr>
        <w:numPr>
          <w:ilvl w:val="0"/>
          <w:numId w:val="20"/>
        </w:numPr>
      </w:pPr>
      <w:r w:rsidRPr="00A836B9">
        <w:rPr>
          <w:b/>
          <w:bCs/>
        </w:rPr>
        <w:t>Part A</w:t>
      </w:r>
      <w:r w:rsidRPr="00A836B9">
        <w:t xml:space="preserve"> (to be filled in directly online) contains administrative information about the applicant organisations (future coordinator and beneficiaries and affiliated entities), the summarised budget for the proposal and call</w:t>
      </w:r>
      <w:r w:rsidR="004D7A0B" w:rsidRPr="00A836B9">
        <w:t>-</w:t>
      </w:r>
      <w:r w:rsidRPr="00A836B9">
        <w:t>specific questions;</w:t>
      </w:r>
    </w:p>
    <w:p w14:paraId="20F294BC" w14:textId="23229F28" w:rsidR="00C60BD6" w:rsidRPr="00A836B9" w:rsidRDefault="00C60BD6" w:rsidP="00C60BD6">
      <w:pPr>
        <w:numPr>
          <w:ilvl w:val="0"/>
          <w:numId w:val="20"/>
        </w:numPr>
      </w:pPr>
      <w:r w:rsidRPr="00A836B9">
        <w:rPr>
          <w:b/>
          <w:bCs/>
        </w:rPr>
        <w:t>Part B</w:t>
      </w:r>
      <w:r w:rsidRPr="00A836B9">
        <w:t xml:space="preserve"> (to be downloaded from the Portal </w:t>
      </w:r>
      <w:r w:rsidR="00C33EF0" w:rsidRPr="00A836B9">
        <w:t>s</w:t>
      </w:r>
      <w:r w:rsidRPr="00A836B9">
        <w:t xml:space="preserve">ubmission </w:t>
      </w:r>
      <w:r w:rsidR="00C33EF0" w:rsidRPr="00A836B9">
        <w:t>s</w:t>
      </w:r>
      <w:r w:rsidRPr="00A836B9">
        <w:t xml:space="preserve">ystem, completed and then assembled and re-uploaded as </w:t>
      </w:r>
      <w:r w:rsidR="004D7A0B" w:rsidRPr="00A836B9">
        <w:t xml:space="preserve">a </w:t>
      </w:r>
      <w:r w:rsidRPr="00A836B9">
        <w:t>PDF in the system) contains the technical description of the project.</w:t>
      </w:r>
    </w:p>
    <w:p w14:paraId="1540B5C2" w14:textId="00D51CDF" w:rsidR="00C60BD6" w:rsidRPr="00A836B9" w:rsidRDefault="00C40DC9" w:rsidP="00C60BD6">
      <w:r w:rsidRPr="00A836B9">
        <w:t>Annex</w:t>
      </w:r>
      <w:r w:rsidR="00C60BD6" w:rsidRPr="00A836B9">
        <w:t xml:space="preserve">es and supporting documents will be directly available in the </w:t>
      </w:r>
      <w:r w:rsidR="00C33EF0" w:rsidRPr="00A836B9">
        <w:t>s</w:t>
      </w:r>
      <w:r w:rsidR="00C60BD6" w:rsidRPr="00A836B9">
        <w:t xml:space="preserve">ubmission </w:t>
      </w:r>
      <w:r w:rsidR="00C33EF0" w:rsidRPr="00A836B9">
        <w:t>s</w:t>
      </w:r>
      <w:r w:rsidR="00C60BD6" w:rsidRPr="00A836B9">
        <w:t>ystem and must be uploaded as PDF files (or other formats allowed by the system).</w:t>
      </w:r>
    </w:p>
    <w:p w14:paraId="6E899590" w14:textId="3616D1C7" w:rsidR="00C60BD6" w:rsidRPr="00A836B9" w:rsidRDefault="00C60BD6" w:rsidP="00C60BD6">
      <w:r w:rsidRPr="00A836B9">
        <w:t xml:space="preserve">Proposals should be designed to stay as close as possible to the award criteria </w:t>
      </w:r>
      <w:r w:rsidRPr="00A836B9">
        <w:rPr>
          <w:i/>
          <w:iCs/>
        </w:rPr>
        <w:t>(</w:t>
      </w:r>
      <w:r w:rsidR="007F5143" w:rsidRPr="00A836B9">
        <w:rPr>
          <w:i/>
          <w:iCs/>
        </w:rPr>
        <w:t xml:space="preserve">see </w:t>
      </w:r>
      <w:r w:rsidR="00C40DC9" w:rsidRPr="00A836B9">
        <w:rPr>
          <w:i/>
          <w:iCs/>
        </w:rPr>
        <w:t>Annex</w:t>
      </w:r>
      <w:r w:rsidRPr="00A836B9">
        <w:rPr>
          <w:i/>
          <w:iCs/>
        </w:rPr>
        <w:t xml:space="preserve"> D)</w:t>
      </w:r>
      <w:r w:rsidRPr="00A836B9">
        <w:t xml:space="preserve">. The </w:t>
      </w:r>
      <w:r w:rsidR="00C33EF0" w:rsidRPr="00A836B9">
        <w:t>a</w:t>
      </w:r>
      <w:r w:rsidRPr="00A836B9">
        <w:t xml:space="preserve">pplication </w:t>
      </w:r>
      <w:r w:rsidR="00C33EF0" w:rsidRPr="00A836B9">
        <w:t>f</w:t>
      </w:r>
      <w:r w:rsidRPr="00A836B9">
        <w:t>orm will help</w:t>
      </w:r>
      <w:r w:rsidR="00C33EF0" w:rsidRPr="00A836B9">
        <w:t xml:space="preserve"> to achieve this</w:t>
      </w:r>
      <w:r w:rsidRPr="00A836B9">
        <w:t>.</w:t>
      </w:r>
    </w:p>
    <w:p w14:paraId="2F3B9718" w14:textId="0ACD0F8F" w:rsidR="00C60BD6" w:rsidRPr="00A836B9" w:rsidRDefault="00C60BD6" w:rsidP="00C60BD6">
      <w:r w:rsidRPr="00A836B9">
        <w:t>When submitting the proposal</w:t>
      </w:r>
      <w:r w:rsidR="004D7A0B" w:rsidRPr="00A836B9">
        <w:t>,</w:t>
      </w:r>
      <w:r w:rsidRPr="00A836B9">
        <w:t xml:space="preserve"> the coordinator will have to confirm that they have the mandate to act for all applicants. Moreover, they will have to confirm that the information in the application is correct and complete and that all participants comply with the conditions for receiving EU funding (especially eligibility, financial and operational capacity, exclusion, etc.). Before signing the grant, each participant will have to confirm this again by signing a declaration of honour. Proposals not complying with these requirements will be rejected.</w:t>
      </w:r>
    </w:p>
    <w:p w14:paraId="1C204F35" w14:textId="4E408FCE" w:rsidR="00C60BD6" w:rsidRPr="00A836B9" w:rsidRDefault="00C60BD6" w:rsidP="00C60BD6">
      <w:r w:rsidRPr="00A836B9">
        <w:t xml:space="preserve">For lump sum grants, when the amount of the lump sum is not fixed in advance, the estimated budget must be described in a detailed budget table. This will be used as a basis for fixing the lump sum amount. As the lump sum must be an approximation of the costs actually incurred, the costs included in this detailed budget table </w:t>
      </w:r>
      <w:r w:rsidR="003670CC" w:rsidRPr="00A836B9">
        <w:t>must</w:t>
      </w:r>
      <w:r w:rsidRPr="00A836B9">
        <w:t xml:space="preserve"> comply with the basic eligibility conditions for EU actual cost grants </w:t>
      </w:r>
      <w:r w:rsidRPr="00A836B9">
        <w:rPr>
          <w:i/>
          <w:iCs/>
        </w:rPr>
        <w:t xml:space="preserve">(see </w:t>
      </w:r>
      <w:r w:rsidR="0091334E">
        <w:rPr>
          <w:i/>
          <w:iCs/>
        </w:rPr>
        <w:t xml:space="preserve">AGA </w:t>
      </w:r>
      <w:r w:rsidR="0091334E" w:rsidRPr="00A836B9">
        <w:t>—</w:t>
      </w:r>
      <w:r w:rsidR="0091334E">
        <w:rPr>
          <w:i/>
          <w:iCs/>
        </w:rPr>
        <w:t xml:space="preserve"> </w:t>
      </w:r>
      <w:r w:rsidRPr="00A836B9">
        <w:rPr>
          <w:i/>
          <w:iCs/>
        </w:rPr>
        <w:t>Annotated Grant Agreement, art</w:t>
      </w:r>
      <w:r w:rsidR="004D7A0B" w:rsidRPr="00A836B9">
        <w:rPr>
          <w:i/>
          <w:iCs/>
        </w:rPr>
        <w:t>icle</w:t>
      </w:r>
      <w:r w:rsidRPr="00A836B9">
        <w:rPr>
          <w:i/>
          <w:iCs/>
        </w:rPr>
        <w:t xml:space="preserve"> 6)</w:t>
      </w:r>
      <w:r w:rsidRPr="00A836B9">
        <w:t>. This is particularly important for purchases and subcontracting, which must ensur</w:t>
      </w:r>
      <w:r w:rsidR="004D7A0B" w:rsidRPr="00A836B9">
        <w:t>e</w:t>
      </w:r>
      <w:r w:rsidRPr="00A836B9">
        <w:t xml:space="preserve"> best value for money (or, if appropriate, the lowest price) and be free from any conflict</w:t>
      </w:r>
      <w:r w:rsidR="004D7A0B" w:rsidRPr="00A836B9">
        <w:t>s</w:t>
      </w:r>
      <w:r w:rsidRPr="00A836B9">
        <w:t xml:space="preserve"> of interest. If the budget table contains ineligible costs, the grants </w:t>
      </w:r>
      <w:r w:rsidR="004D7A0B" w:rsidRPr="00A836B9">
        <w:t>may</w:t>
      </w:r>
      <w:r w:rsidRPr="00A836B9">
        <w:t xml:space="preserve"> be reduced (even later on during  implementation </w:t>
      </w:r>
      <w:r w:rsidR="00601D17">
        <w:t xml:space="preserve">of the project </w:t>
      </w:r>
      <w:r w:rsidRPr="00A836B9">
        <w:t>or after the</w:t>
      </w:r>
      <w:r w:rsidR="00C0254F" w:rsidRPr="00A836B9">
        <w:t>y</w:t>
      </w:r>
      <w:r w:rsidRPr="00A836B9">
        <w:t xml:space="preserve"> end).</w:t>
      </w:r>
    </w:p>
    <w:p w14:paraId="1E8B75C7" w14:textId="77777777" w:rsidR="00C60BD6" w:rsidRPr="00A836B9" w:rsidRDefault="00C60BD6" w:rsidP="00C60BD6">
      <w:r w:rsidRPr="00A836B9">
        <w:rPr>
          <w:noProof/>
        </w:rPr>
        <w:drawing>
          <wp:inline distT="0" distB="0" distL="0" distR="0" wp14:anchorId="23446550" wp14:editId="11EF83A2">
            <wp:extent cx="15875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36B9">
        <w:t xml:space="preserve"> Applicants may be asked at a later stage for further documents </w:t>
      </w:r>
      <w:r w:rsidRPr="00A836B9">
        <w:rPr>
          <w:iCs/>
        </w:rPr>
        <w:t>(for legal entity validation, financial capacity check, bank account validation, etc.)</w:t>
      </w:r>
      <w:r w:rsidRPr="00A836B9">
        <w:t>.</w:t>
      </w:r>
      <w:r w:rsidRPr="00A836B9">
        <w:br w:type="page"/>
      </w:r>
    </w:p>
    <w:p w14:paraId="67321EBE" w14:textId="77777777" w:rsidR="00C60BD6" w:rsidRPr="00A836B9" w:rsidRDefault="00C60BD6" w:rsidP="490E705E">
      <w:pPr>
        <w:keepNext/>
        <w:keepLines/>
        <w:spacing w:before="240" w:after="240"/>
        <w:outlineLvl w:val="1"/>
        <w:rPr>
          <w:rFonts w:eastAsiaTheme="majorEastAsia" w:cs="Times New Roman"/>
          <w:b/>
          <w:bCs/>
        </w:rPr>
      </w:pPr>
      <w:bookmarkStart w:id="10" w:name="_Toc66355172"/>
      <w:r w:rsidRPr="00A836B9">
        <w:rPr>
          <w:rFonts w:eastAsiaTheme="majorEastAsia" w:cs="Times New Roman"/>
          <w:b/>
          <w:bCs/>
        </w:rPr>
        <w:t>F — Procedure</w:t>
      </w:r>
      <w:bookmarkEnd w:id="10"/>
    </w:p>
    <w:p w14:paraId="08D25BDC" w14:textId="77777777" w:rsidR="00C60BD6" w:rsidRPr="00A836B9" w:rsidRDefault="00C60BD6" w:rsidP="490E705E">
      <w:pPr>
        <w:rPr>
          <w:rFonts w:cs="Times New Roman"/>
          <w:b/>
          <w:bCs/>
          <w:i/>
          <w:iCs/>
          <w:u w:val="single"/>
        </w:rPr>
      </w:pPr>
      <w:r w:rsidRPr="00A836B9">
        <w:rPr>
          <w:rFonts w:cs="Times New Roman"/>
          <w:b/>
          <w:bCs/>
          <w:i/>
          <w:iCs/>
          <w:u w:val="single"/>
        </w:rPr>
        <w:t>Evaluation procedure and ranking</w:t>
      </w:r>
    </w:p>
    <w:p w14:paraId="091AAB91" w14:textId="1DD9A9BB" w:rsidR="00C60BD6" w:rsidRPr="00A836B9" w:rsidRDefault="00C60BD6" w:rsidP="490E705E">
      <w:pPr>
        <w:rPr>
          <w:rFonts w:cs="Times New Roman"/>
        </w:rPr>
      </w:pPr>
      <w:r w:rsidRPr="00A836B9">
        <w:rPr>
          <w:rFonts w:cs="Times New Roman"/>
        </w:rPr>
        <w:t xml:space="preserve">Calls may be subject to either a </w:t>
      </w:r>
      <w:r w:rsidRPr="00A836B9">
        <w:rPr>
          <w:rFonts w:cs="Times New Roman"/>
          <w:b/>
          <w:bCs/>
        </w:rPr>
        <w:t>single-stage submission procedure</w:t>
      </w:r>
      <w:r w:rsidRPr="00A836B9">
        <w:rPr>
          <w:rFonts w:cs="Times New Roman"/>
        </w:rPr>
        <w:t xml:space="preserve"> or a </w:t>
      </w:r>
      <w:r w:rsidRPr="00A836B9">
        <w:rPr>
          <w:rFonts w:cs="Times New Roman"/>
          <w:b/>
          <w:bCs/>
        </w:rPr>
        <w:t>two-stage submission procedure</w:t>
      </w:r>
      <w:r w:rsidRPr="00A836B9">
        <w:rPr>
          <w:rFonts w:cs="Times New Roman"/>
        </w:rPr>
        <w:t xml:space="preserve">. The </w:t>
      </w:r>
      <w:r w:rsidRPr="00A836B9">
        <w:rPr>
          <w:rFonts w:cs="Times New Roman"/>
          <w:b/>
          <w:bCs/>
        </w:rPr>
        <w:t>evaluation procedure</w:t>
      </w:r>
      <w:r w:rsidRPr="00A836B9">
        <w:rPr>
          <w:rFonts w:cs="Times New Roman"/>
        </w:rPr>
        <w:t xml:space="preserve"> </w:t>
      </w:r>
      <w:r w:rsidR="004D7A0B" w:rsidRPr="00A836B9">
        <w:rPr>
          <w:rFonts w:cs="Times New Roman"/>
        </w:rPr>
        <w:t>may</w:t>
      </w:r>
      <w:r w:rsidRPr="00A836B9">
        <w:rPr>
          <w:rFonts w:cs="Times New Roman"/>
        </w:rPr>
        <w:t xml:space="preserve"> be organised in one (standard) or several steps. </w:t>
      </w:r>
    </w:p>
    <w:p w14:paraId="5F348655" w14:textId="1A3D98F0" w:rsidR="00C60BD6" w:rsidRPr="00A836B9" w:rsidRDefault="00C60BD6" w:rsidP="490E705E">
      <w:pPr>
        <w:rPr>
          <w:rFonts w:cs="Times New Roman"/>
        </w:rPr>
      </w:pPr>
      <w:r w:rsidRPr="00A836B9">
        <w:rPr>
          <w:rFonts w:cs="Times New Roman"/>
        </w:rPr>
        <w:t xml:space="preserve">In the first stage of </w:t>
      </w:r>
      <w:r w:rsidR="004D7A0B" w:rsidRPr="00A836B9">
        <w:rPr>
          <w:rFonts w:cs="Times New Roman"/>
        </w:rPr>
        <w:t xml:space="preserve">a </w:t>
      </w:r>
      <w:r w:rsidRPr="00A836B9">
        <w:rPr>
          <w:rFonts w:cs="Times New Roman"/>
        </w:rPr>
        <w:t>two-stage submission, applicants will be requested to submit only an outline application (which will be evaluated against only two award criteria: ‘Excellence’ and ‘Impact’). Successful applicants will be invited to submit a full application for the second stage (which will be evaluated against the full set of award criteria).</w:t>
      </w:r>
    </w:p>
    <w:p w14:paraId="7D124E9B" w14:textId="3D674F8D" w:rsidR="00C60BD6" w:rsidRPr="00A836B9" w:rsidRDefault="00C60BD6" w:rsidP="490E705E">
      <w:pPr>
        <w:rPr>
          <w:rFonts w:cs="Times New Roman"/>
        </w:rPr>
      </w:pPr>
      <w:r w:rsidRPr="00A836B9">
        <w:rPr>
          <w:rFonts w:cs="Times New Roman"/>
        </w:rPr>
        <w:t xml:space="preserve">Proposals will be checked for formal requirements (admissibility and eligibility) and then evaluated (for each topic separately) by an </w:t>
      </w:r>
      <w:r w:rsidRPr="00A836B9">
        <w:rPr>
          <w:rFonts w:cs="Times New Roman"/>
          <w:b/>
          <w:bCs/>
        </w:rPr>
        <w:t>evaluation committee</w:t>
      </w:r>
      <w:r w:rsidRPr="00A836B9">
        <w:rPr>
          <w:rFonts w:cs="Times New Roman"/>
        </w:rPr>
        <w:t xml:space="preserve"> composed of independent external experts for operational capacity and award criteria </w:t>
      </w:r>
      <w:r w:rsidRPr="00A836B9">
        <w:rPr>
          <w:rFonts w:cs="Times New Roman"/>
          <w:i/>
          <w:iCs/>
        </w:rPr>
        <w:t xml:space="preserve">(see </w:t>
      </w:r>
      <w:r w:rsidR="00C40DC9" w:rsidRPr="00A836B9">
        <w:rPr>
          <w:rFonts w:cs="Times New Roman"/>
          <w:i/>
          <w:iCs/>
        </w:rPr>
        <w:t>Annex</w:t>
      </w:r>
      <w:r w:rsidRPr="00A836B9">
        <w:rPr>
          <w:rFonts w:cs="Times New Roman"/>
          <w:i/>
          <w:iCs/>
        </w:rPr>
        <w:t>es C and D)</w:t>
      </w:r>
      <w:r w:rsidRPr="00A836B9">
        <w:rPr>
          <w:rFonts w:ascii="Verdana" w:eastAsia="Times New Roman" w:hAnsi="Verdana" w:cs="Times New Roman"/>
          <w:sz w:val="20"/>
          <w:szCs w:val="20"/>
          <w:lang w:eastAsia="en-US"/>
        </w:rPr>
        <w:t xml:space="preserve"> </w:t>
      </w:r>
      <w:r w:rsidRPr="00A836B9">
        <w:rPr>
          <w:rFonts w:cs="Times New Roman"/>
        </w:rPr>
        <w:t>and then ranked according to their quality score.</w:t>
      </w:r>
      <w:r w:rsidRPr="00A836B9" w:rsidDel="002C2561">
        <w:rPr>
          <w:rFonts w:cs="Times New Roman"/>
        </w:rPr>
        <w:t xml:space="preserve"> </w:t>
      </w:r>
    </w:p>
    <w:p w14:paraId="425E8772" w14:textId="3F6398B5" w:rsidR="00C60BD6" w:rsidRPr="00A836B9" w:rsidRDefault="00C60BD6" w:rsidP="490E705E">
      <w:pPr>
        <w:rPr>
          <w:rFonts w:cs="Times New Roman"/>
        </w:rPr>
      </w:pPr>
      <w:r w:rsidRPr="00A836B9">
        <w:rPr>
          <w:rFonts w:cs="Times New Roman"/>
        </w:rPr>
        <w:t>Exceptionally, where indicated in the specific call conditions, the evaluation committee may be composed partially or</w:t>
      </w:r>
      <w:r w:rsidR="004746B1">
        <w:rPr>
          <w:rFonts w:cs="Times New Roman"/>
        </w:rPr>
        <w:t xml:space="preserve">, in the case of </w:t>
      </w:r>
      <w:r w:rsidR="009526CC">
        <w:rPr>
          <w:rFonts w:cs="Times New Roman"/>
        </w:rPr>
        <w:t>‘</w:t>
      </w:r>
      <w:r w:rsidR="004746B1">
        <w:rPr>
          <w:rFonts w:cs="Times New Roman"/>
        </w:rPr>
        <w:t>Coordination and support actions</w:t>
      </w:r>
      <w:r w:rsidR="009526CC">
        <w:rPr>
          <w:rFonts w:cs="Times New Roman"/>
        </w:rPr>
        <w:t>’</w:t>
      </w:r>
      <w:r w:rsidR="004746B1">
        <w:rPr>
          <w:rFonts w:cs="Times New Roman"/>
        </w:rPr>
        <w:t>, partially or</w:t>
      </w:r>
      <w:r w:rsidRPr="00A836B9">
        <w:rPr>
          <w:rFonts w:cs="Times New Roman"/>
        </w:rPr>
        <w:t xml:space="preserve"> fully </w:t>
      </w:r>
      <w:r w:rsidR="00044236" w:rsidRPr="00A836B9">
        <w:rPr>
          <w:rFonts w:cs="Times New Roman"/>
        </w:rPr>
        <w:t>of</w:t>
      </w:r>
      <w:r w:rsidRPr="00A836B9">
        <w:rPr>
          <w:rFonts w:cs="Times New Roman"/>
        </w:rPr>
        <w:t xml:space="preserve"> representatives of EU institutions.</w:t>
      </w:r>
    </w:p>
    <w:p w14:paraId="3F7EF30F" w14:textId="7E56D81F" w:rsidR="00C60BD6" w:rsidRPr="00A836B9" w:rsidRDefault="00C60BD6" w:rsidP="490E705E">
      <w:pPr>
        <w:rPr>
          <w:rFonts w:cs="Times New Roman"/>
        </w:rPr>
      </w:pPr>
      <w:r w:rsidRPr="00A836B9">
        <w:rPr>
          <w:rFonts w:eastAsia="Times New Roman" w:cs="Times New Roman"/>
        </w:rPr>
        <w:t xml:space="preserve">For proposals with the same score within a single budget envelope (with the exception of the first stage of two-stage submissions) a method </w:t>
      </w:r>
      <w:r w:rsidR="00044236" w:rsidRPr="00A836B9">
        <w:rPr>
          <w:rFonts w:eastAsia="Times New Roman" w:cs="Times New Roman"/>
        </w:rPr>
        <w:t>to</w:t>
      </w:r>
      <w:r w:rsidRPr="00A836B9">
        <w:rPr>
          <w:rFonts w:eastAsia="Times New Roman" w:cs="Times New Roman"/>
        </w:rPr>
        <w:t xml:space="preserve"> establish the </w:t>
      </w:r>
      <w:r w:rsidRPr="00A836B9">
        <w:rPr>
          <w:rFonts w:eastAsia="Times New Roman" w:cs="Times New Roman"/>
          <w:b/>
          <w:bCs/>
        </w:rPr>
        <w:t>priority order</w:t>
      </w:r>
      <w:r w:rsidRPr="00A836B9">
        <w:rPr>
          <w:rFonts w:eastAsia="Times New Roman" w:cs="Times New Roman"/>
        </w:rPr>
        <w:t xml:space="preserve"> will be determined, taking into consideration the objectives of the specific topic. In the absence of special arrangements in the </w:t>
      </w:r>
      <w:r w:rsidR="008617ED" w:rsidRPr="00A836B9">
        <w:rPr>
          <w:rFonts w:eastAsia="Times New Roman" w:cs="Times New Roman"/>
        </w:rPr>
        <w:t xml:space="preserve">specific </w:t>
      </w:r>
      <w:r w:rsidRPr="00A836B9">
        <w:rPr>
          <w:rFonts w:eastAsia="Times New Roman" w:cs="Times New Roman"/>
        </w:rPr>
        <w:t>call conditions, the following method will apply:</w:t>
      </w:r>
      <w:r w:rsidRPr="00A836B9">
        <w:rPr>
          <w:rFonts w:cs="Times New Roman"/>
        </w:rPr>
        <w:t xml:space="preserve"> </w:t>
      </w:r>
    </w:p>
    <w:p w14:paraId="043F6DB4" w14:textId="41558884" w:rsidR="00C60BD6" w:rsidRPr="00A836B9" w:rsidRDefault="004D7A0B" w:rsidP="490E705E">
      <w:pPr>
        <w:ind w:left="360"/>
        <w:rPr>
          <w:rFonts w:cs="Times New Roman"/>
        </w:rPr>
      </w:pPr>
      <w:r w:rsidRPr="00A836B9">
        <w:rPr>
          <w:rFonts w:cs="Times New Roman"/>
        </w:rPr>
        <w:t>F</w:t>
      </w:r>
      <w:r w:rsidR="00C60BD6" w:rsidRPr="00A836B9">
        <w:rPr>
          <w:rFonts w:cs="Times New Roman"/>
        </w:rPr>
        <w:t xml:space="preserve">or </w:t>
      </w:r>
      <w:r w:rsidRPr="00A836B9">
        <w:rPr>
          <w:rFonts w:cs="Times New Roman"/>
        </w:rPr>
        <w:t xml:space="preserve">each </w:t>
      </w:r>
      <w:r w:rsidR="00C60BD6" w:rsidRPr="00A836B9">
        <w:rPr>
          <w:rFonts w:cs="Times New Roman"/>
        </w:rPr>
        <w:t>group of proposals</w:t>
      </w:r>
      <w:r w:rsidRPr="00A836B9">
        <w:rPr>
          <w:rFonts w:cs="Times New Roman"/>
        </w:rPr>
        <w:t xml:space="preserve"> with the same score</w:t>
      </w:r>
      <w:r w:rsidR="00C60BD6" w:rsidRPr="00A836B9">
        <w:rPr>
          <w:rFonts w:cs="Times New Roman"/>
        </w:rPr>
        <w:t xml:space="preserve">, starting with the </w:t>
      </w:r>
      <w:r w:rsidR="00B563FD" w:rsidRPr="00A836B9">
        <w:rPr>
          <w:rFonts w:cs="Times New Roman"/>
        </w:rPr>
        <w:t xml:space="preserve">group achieving the </w:t>
      </w:r>
      <w:r w:rsidR="00C60BD6" w:rsidRPr="00A836B9">
        <w:rPr>
          <w:rFonts w:cs="Times New Roman"/>
        </w:rPr>
        <w:t xml:space="preserve">highest score and continuing in descending order: </w:t>
      </w:r>
    </w:p>
    <w:p w14:paraId="10605169" w14:textId="0CFCE0FD" w:rsidR="00C60BD6" w:rsidRPr="00A836B9" w:rsidRDefault="00C60BD6" w:rsidP="490E705E">
      <w:pPr>
        <w:numPr>
          <w:ilvl w:val="0"/>
          <w:numId w:val="12"/>
        </w:numPr>
        <w:rPr>
          <w:rFonts w:cs="Times New Roman"/>
        </w:rPr>
      </w:pPr>
      <w:r w:rsidRPr="00A836B9">
        <w:rPr>
          <w:rFonts w:cs="Times New Roman"/>
        </w:rPr>
        <w:t xml:space="preserve">Proposals that address </w:t>
      </w:r>
      <w:r w:rsidR="004D7A0B" w:rsidRPr="00A836B9">
        <w:rPr>
          <w:rFonts w:cs="Times New Roman"/>
        </w:rPr>
        <w:t xml:space="preserve">aspects of the </w:t>
      </w:r>
      <w:r w:rsidRPr="00A836B9">
        <w:rPr>
          <w:rFonts w:cs="Times New Roman"/>
        </w:rPr>
        <w:t xml:space="preserve">call </w:t>
      </w:r>
      <w:r w:rsidR="00B563FD" w:rsidRPr="00A836B9">
        <w:rPr>
          <w:rFonts w:cs="Times New Roman"/>
        </w:rPr>
        <w:t xml:space="preserve">that have </w:t>
      </w:r>
      <w:r w:rsidRPr="00A836B9">
        <w:rPr>
          <w:rFonts w:cs="Times New Roman"/>
        </w:rPr>
        <w:t xml:space="preserve">not otherwise </w:t>
      </w:r>
      <w:r w:rsidR="00B563FD" w:rsidRPr="00A836B9">
        <w:rPr>
          <w:rFonts w:cs="Times New Roman"/>
        </w:rPr>
        <w:t xml:space="preserve">been </w:t>
      </w:r>
      <w:r w:rsidRPr="00A836B9">
        <w:rPr>
          <w:rFonts w:cs="Times New Roman"/>
        </w:rPr>
        <w:t>covered by more highly ranked proposals will be considered to have the highest priority.</w:t>
      </w:r>
    </w:p>
    <w:p w14:paraId="5A1FD367" w14:textId="2C003335" w:rsidR="00C60BD6" w:rsidRPr="00A836B9" w:rsidRDefault="00C60BD6" w:rsidP="490E705E">
      <w:pPr>
        <w:numPr>
          <w:ilvl w:val="0"/>
          <w:numId w:val="12"/>
        </w:numPr>
        <w:rPr>
          <w:rFonts w:cs="Times New Roman"/>
        </w:rPr>
      </w:pPr>
      <w:r w:rsidRPr="00A836B9">
        <w:rPr>
          <w:rFonts w:cs="Times New Roman"/>
        </w:rPr>
        <w:t xml:space="preserve">The proposals identified under 1), if any, will themselves be prioritised according to the scores they have been awarded for ‘Excellence’. When these scores are equal, priority will be based on scores for ‘Impact’. In the case of </w:t>
      </w:r>
      <w:r w:rsidR="003F59C8">
        <w:rPr>
          <w:rFonts w:cs="Times New Roman"/>
        </w:rPr>
        <w:t>‘</w:t>
      </w:r>
      <w:r w:rsidRPr="00A836B9">
        <w:rPr>
          <w:rFonts w:cs="Times New Roman"/>
        </w:rPr>
        <w:t>Innovation actions</w:t>
      </w:r>
      <w:r w:rsidR="003F59C8">
        <w:rPr>
          <w:rFonts w:cs="Times New Roman"/>
        </w:rPr>
        <w:t>’</w:t>
      </w:r>
      <w:r w:rsidR="00B563FD" w:rsidRPr="00A836B9">
        <w:rPr>
          <w:rFonts w:cs="Times New Roman"/>
        </w:rPr>
        <w:t>,</w:t>
      </w:r>
      <w:r w:rsidRPr="00A836B9">
        <w:rPr>
          <w:rFonts w:cs="Times New Roman"/>
        </w:rPr>
        <w:t xml:space="preserve"> priorit</w:t>
      </w:r>
      <w:r w:rsidR="00B563FD" w:rsidRPr="00A836B9">
        <w:rPr>
          <w:rFonts w:cs="Times New Roman"/>
        </w:rPr>
        <w:t>y</w:t>
      </w:r>
      <w:r w:rsidRPr="00A836B9">
        <w:rPr>
          <w:rFonts w:cs="Times New Roman"/>
        </w:rPr>
        <w:t xml:space="preserve"> will be </w:t>
      </w:r>
      <w:r w:rsidR="00B563FD" w:rsidRPr="00A836B9">
        <w:rPr>
          <w:rFonts w:cs="Times New Roman"/>
        </w:rPr>
        <w:t>given</w:t>
      </w:r>
      <w:r w:rsidRPr="00A836B9">
        <w:rPr>
          <w:rFonts w:cs="Times New Roman"/>
        </w:rPr>
        <w:t xml:space="preserve"> </w:t>
      </w:r>
      <w:r w:rsidR="00B563FD" w:rsidRPr="00A836B9">
        <w:rPr>
          <w:rFonts w:cs="Times New Roman"/>
        </w:rPr>
        <w:t xml:space="preserve">to </w:t>
      </w:r>
      <w:r w:rsidRPr="00A836B9">
        <w:rPr>
          <w:rFonts w:cs="Times New Roman"/>
        </w:rPr>
        <w:t xml:space="preserve">the score for ‘Impact’, </w:t>
      </w:r>
      <w:r w:rsidR="00B563FD" w:rsidRPr="00A836B9">
        <w:rPr>
          <w:rFonts w:cs="Times New Roman"/>
        </w:rPr>
        <w:t xml:space="preserve">followed by </w:t>
      </w:r>
      <w:r w:rsidRPr="00A836B9">
        <w:rPr>
          <w:rFonts w:cs="Times New Roman"/>
        </w:rPr>
        <w:t>that for ‘Excellence’.</w:t>
      </w:r>
    </w:p>
    <w:p w14:paraId="11FE0158" w14:textId="1EB94D60" w:rsidR="00C60BD6" w:rsidRPr="00A836B9" w:rsidRDefault="00C60BD6" w:rsidP="490E705E">
      <w:pPr>
        <w:numPr>
          <w:ilvl w:val="0"/>
          <w:numId w:val="12"/>
        </w:numPr>
        <w:rPr>
          <w:rFonts w:cs="Times New Roman"/>
        </w:rPr>
      </w:pPr>
      <w:r w:rsidRPr="00A836B9">
        <w:rPr>
          <w:rFonts w:cs="Times New Roman"/>
        </w:rPr>
        <w:t xml:space="preserve">If necessary, the gender balance among the personnel named in the proposal who will be primarily responsible for carrying out the research and/or innovation activities, and who are included in the researchers table </w:t>
      </w:r>
      <w:r w:rsidR="00B563FD" w:rsidRPr="00A836B9">
        <w:rPr>
          <w:rFonts w:cs="Times New Roman"/>
        </w:rPr>
        <w:t>in</w:t>
      </w:r>
      <w:r w:rsidRPr="00A836B9">
        <w:rPr>
          <w:rFonts w:cs="Times New Roman"/>
        </w:rPr>
        <w:t xml:space="preserve"> the proposal, will be used as a factor for prioritisation.</w:t>
      </w:r>
    </w:p>
    <w:p w14:paraId="58864829" w14:textId="5B85AA9B" w:rsidR="00C60BD6" w:rsidRPr="00A836B9" w:rsidRDefault="00C60BD6" w:rsidP="490E705E">
      <w:pPr>
        <w:numPr>
          <w:ilvl w:val="0"/>
          <w:numId w:val="12"/>
        </w:numPr>
        <w:rPr>
          <w:rFonts w:cs="Times New Roman"/>
        </w:rPr>
      </w:pPr>
      <w:r w:rsidRPr="00A836B9">
        <w:rPr>
          <w:rFonts w:cs="Times New Roman"/>
        </w:rPr>
        <w:t xml:space="preserve">If necessary, any further prioritisation will be based on geographical diversity, defined as the number of Member </w:t>
      </w:r>
      <w:r w:rsidR="00B563FD" w:rsidRPr="00A836B9">
        <w:rPr>
          <w:rFonts w:cs="Times New Roman"/>
        </w:rPr>
        <w:t>S</w:t>
      </w:r>
      <w:r w:rsidRPr="00A836B9">
        <w:rPr>
          <w:rFonts w:cs="Times New Roman"/>
        </w:rPr>
        <w:t xml:space="preserve">tates or Associated Countries represented in the proposal, not otherwise receiving funds from projects higher up the ranking list (and if equal in number, then by budget). </w:t>
      </w:r>
    </w:p>
    <w:p w14:paraId="328B39C4" w14:textId="31EED94C" w:rsidR="00C60BD6" w:rsidRPr="00A836B9" w:rsidRDefault="00C60BD6" w:rsidP="490E705E">
      <w:pPr>
        <w:numPr>
          <w:ilvl w:val="0"/>
          <w:numId w:val="12"/>
        </w:numPr>
        <w:rPr>
          <w:rFonts w:cs="Times New Roman"/>
        </w:rPr>
      </w:pPr>
      <w:r w:rsidRPr="00A836B9">
        <w:rPr>
          <w:rFonts w:cs="Times New Roman"/>
        </w:rPr>
        <w:t>If a distinction still cannot be made, the panel may decide to further prioritise by considering other factors related to the objectives of the call, or to Horizon Europe in general. These may include, for example, enhancing the quality of the project portfolio through synergies between projects or, where relevant and feasible, involv</w:t>
      </w:r>
      <w:r w:rsidR="00AE0542" w:rsidRPr="00A836B9">
        <w:rPr>
          <w:rFonts w:cs="Times New Roman"/>
        </w:rPr>
        <w:t>ing</w:t>
      </w:r>
      <w:r w:rsidRPr="00A836B9">
        <w:rPr>
          <w:rFonts w:cs="Times New Roman"/>
        </w:rPr>
        <w:t xml:space="preserve"> SMEs. These factors will be documented in the panel report.</w:t>
      </w:r>
    </w:p>
    <w:p w14:paraId="2233EB1F" w14:textId="3312FC0C" w:rsidR="00C60BD6" w:rsidRPr="00A836B9" w:rsidRDefault="00C60BD6" w:rsidP="490E705E">
      <w:pPr>
        <w:numPr>
          <w:ilvl w:val="0"/>
          <w:numId w:val="12"/>
        </w:numPr>
        <w:rPr>
          <w:rFonts w:cs="Times New Roman"/>
        </w:rPr>
      </w:pPr>
      <w:r w:rsidRPr="00A836B9">
        <w:rPr>
          <w:rFonts w:cs="Times New Roman"/>
        </w:rPr>
        <w:t>The method described in 1), 2), 3) and 4) will then be applied to the remaining equally rank</w:t>
      </w:r>
      <w:r w:rsidR="00AE0542" w:rsidRPr="00A836B9">
        <w:rPr>
          <w:rFonts w:cs="Times New Roman"/>
        </w:rPr>
        <w:t>ed</w:t>
      </w:r>
      <w:r w:rsidRPr="00A836B9">
        <w:rPr>
          <w:rFonts w:cs="Times New Roman"/>
        </w:rPr>
        <w:t xml:space="preserve"> proposals in the group.</w:t>
      </w:r>
    </w:p>
    <w:p w14:paraId="3CCFD2B6" w14:textId="7A9DC35E" w:rsidR="00C60BD6" w:rsidRPr="00A836B9" w:rsidRDefault="00C60BD6" w:rsidP="490E705E">
      <w:pPr>
        <w:rPr>
          <w:rFonts w:cs="Times New Roman"/>
        </w:rPr>
      </w:pPr>
      <w:r w:rsidRPr="00A836B9">
        <w:rPr>
          <w:rFonts w:cs="Times New Roman"/>
        </w:rPr>
        <w:t xml:space="preserve">At the end of </w:t>
      </w:r>
      <w:r w:rsidR="005010D1" w:rsidRPr="00A836B9">
        <w:rPr>
          <w:rFonts w:cs="Times New Roman"/>
        </w:rPr>
        <w:t xml:space="preserve">the </w:t>
      </w:r>
      <w:r w:rsidRPr="00A836B9">
        <w:rPr>
          <w:rFonts w:cs="Times New Roman"/>
        </w:rPr>
        <w:t xml:space="preserve">evaluation, all applicants will be informed </w:t>
      </w:r>
      <w:r w:rsidR="00AE0542" w:rsidRPr="00A836B9">
        <w:rPr>
          <w:rFonts w:cs="Times New Roman"/>
        </w:rPr>
        <w:t>of the</w:t>
      </w:r>
      <w:r w:rsidRPr="00A836B9">
        <w:rPr>
          <w:rFonts w:cs="Times New Roman"/>
        </w:rPr>
        <w:t xml:space="preserve"> result (at the same time</w:t>
      </w:r>
      <w:r w:rsidR="00AE0542" w:rsidRPr="00A836B9">
        <w:rPr>
          <w:rFonts w:cs="Times New Roman"/>
        </w:rPr>
        <w:t xml:space="preserve">, </w:t>
      </w:r>
      <w:r w:rsidR="005010D1" w:rsidRPr="00A836B9">
        <w:rPr>
          <w:rFonts w:cs="Times New Roman"/>
        </w:rPr>
        <w:t>in</w:t>
      </w:r>
      <w:r w:rsidR="00AE0542" w:rsidRPr="00A836B9">
        <w:rPr>
          <w:rFonts w:cs="Times New Roman"/>
        </w:rPr>
        <w:t xml:space="preserve"> an</w:t>
      </w:r>
      <w:r w:rsidRPr="00A836B9">
        <w:rPr>
          <w:rFonts w:cs="Times New Roman"/>
        </w:rPr>
        <w:t xml:space="preserve"> evaluation result letter). Successful proposals will be invited to the next stage, </w:t>
      </w:r>
      <w:r w:rsidR="00AE0542" w:rsidRPr="00A836B9">
        <w:rPr>
          <w:rFonts w:cs="Times New Roman"/>
        </w:rPr>
        <w:t>‘</w:t>
      </w:r>
      <w:r w:rsidRPr="00A836B9">
        <w:rPr>
          <w:rFonts w:cs="Times New Roman"/>
        </w:rPr>
        <w:t>grant preparation</w:t>
      </w:r>
      <w:r w:rsidR="00AE0542" w:rsidRPr="00A836B9">
        <w:rPr>
          <w:rFonts w:cs="Times New Roman"/>
        </w:rPr>
        <w:t>’</w:t>
      </w:r>
      <w:r w:rsidRPr="00A836B9">
        <w:rPr>
          <w:rFonts w:cs="Times New Roman"/>
        </w:rPr>
        <w:t>; the other proposals will be put on the reserve list or rejected.</w:t>
      </w:r>
    </w:p>
    <w:p w14:paraId="0BD370C7" w14:textId="31D72C60" w:rsidR="00C60BD6" w:rsidRPr="00A836B9" w:rsidRDefault="00C60BD6" w:rsidP="490E705E">
      <w:pPr>
        <w:rPr>
          <w:rFonts w:cs="Times New Roman"/>
        </w:rPr>
      </w:pPr>
      <w:r w:rsidRPr="00A836B9">
        <w:rPr>
          <w:rFonts w:cs="Times New Roman"/>
          <w:noProof/>
          <w:szCs w:val="24"/>
        </w:rPr>
        <w:drawing>
          <wp:inline distT="0" distB="0" distL="0" distR="0" wp14:anchorId="2C99A1F7" wp14:editId="1CE7387B">
            <wp:extent cx="158750" cy="158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36B9">
        <w:rPr>
          <w:rFonts w:cs="Times New Roman"/>
        </w:rPr>
        <w:t xml:space="preserve"> No commitment </w:t>
      </w:r>
      <w:r w:rsidR="005010D1" w:rsidRPr="00A836B9">
        <w:rPr>
          <w:rFonts w:cs="Times New Roman"/>
        </w:rPr>
        <w:t>to provide</w:t>
      </w:r>
      <w:r w:rsidRPr="00A836B9">
        <w:rPr>
          <w:rFonts w:cs="Times New Roman"/>
        </w:rPr>
        <w:t xml:space="preserve"> funding — Invitation to </w:t>
      </w:r>
      <w:r w:rsidR="00AE0542" w:rsidRPr="00A836B9">
        <w:rPr>
          <w:rFonts w:cs="Times New Roman"/>
        </w:rPr>
        <w:t xml:space="preserve">the </w:t>
      </w:r>
      <w:r w:rsidRPr="00A836B9">
        <w:rPr>
          <w:rFonts w:cs="Times New Roman"/>
        </w:rPr>
        <w:t xml:space="preserve">grant preparation </w:t>
      </w:r>
      <w:r w:rsidR="00AE0542" w:rsidRPr="00A836B9">
        <w:rPr>
          <w:rFonts w:cs="Times New Roman"/>
        </w:rPr>
        <w:t xml:space="preserve">stage </w:t>
      </w:r>
      <w:r w:rsidRPr="00A836B9">
        <w:rPr>
          <w:rFonts w:cs="Times New Roman"/>
        </w:rPr>
        <w:t xml:space="preserve">does NOT constitute a formal commitment </w:t>
      </w:r>
      <w:r w:rsidR="00AE0542" w:rsidRPr="00A836B9">
        <w:rPr>
          <w:rFonts w:cs="Times New Roman"/>
        </w:rPr>
        <w:t>to</w:t>
      </w:r>
      <w:r w:rsidRPr="00A836B9">
        <w:rPr>
          <w:rFonts w:cs="Times New Roman"/>
        </w:rPr>
        <w:t xml:space="preserve"> funding. Various legal checks are still needed before the grant can be awarded, </w:t>
      </w:r>
      <w:r w:rsidRPr="00A836B9">
        <w:rPr>
          <w:rFonts w:cs="Times New Roman"/>
          <w:iCs/>
        </w:rPr>
        <w:t>such as legal entity validation, financial capacity, exclusion check, etc</w:t>
      </w:r>
      <w:r w:rsidRPr="00A836B9">
        <w:rPr>
          <w:rFonts w:cs="Times New Roman"/>
        </w:rPr>
        <w:t>.</w:t>
      </w:r>
    </w:p>
    <w:p w14:paraId="499A41E8" w14:textId="77777777" w:rsidR="00C60BD6" w:rsidRPr="00A836B9" w:rsidRDefault="00C60BD6" w:rsidP="490E705E">
      <w:pPr>
        <w:rPr>
          <w:rFonts w:cs="Times New Roman"/>
        </w:rPr>
      </w:pPr>
      <w:r w:rsidRPr="00A836B9">
        <w:rPr>
          <w:rFonts w:cs="Times New Roman"/>
          <w:noProof/>
          <w:szCs w:val="24"/>
        </w:rPr>
        <w:drawing>
          <wp:inline distT="0" distB="0" distL="0" distR="0" wp14:anchorId="6D6E7F8D" wp14:editId="43203F41">
            <wp:extent cx="158750" cy="158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36B9">
        <w:rPr>
          <w:rFonts w:cs="Times New Roman"/>
        </w:rPr>
        <w:t xml:space="preserve"> If indicated in the specific call conditions, proposals which were judged to deserve funding but did not succeed because of budget limits will receive a </w:t>
      </w:r>
      <w:r w:rsidRPr="00A836B9">
        <w:rPr>
          <w:rFonts w:cs="Times New Roman"/>
          <w:b/>
          <w:bCs/>
        </w:rPr>
        <w:t>Seal of Excellence</w:t>
      </w:r>
      <w:r w:rsidRPr="00A836B9">
        <w:rPr>
          <w:rFonts w:cs="Times New Roman"/>
          <w:b/>
          <w:bCs/>
          <w:vertAlign w:val="superscript"/>
        </w:rPr>
        <w:footnoteReference w:id="18"/>
      </w:r>
      <w:r w:rsidRPr="00A836B9">
        <w:rPr>
          <w:rFonts w:cs="Times New Roman"/>
        </w:rPr>
        <w:t>. With prior authorisation from the applicant, the granting authority may share information concerning the proposal and the evaluation with interested financing authorities, subject to the conclusion of confidentiality agreements.</w:t>
      </w:r>
    </w:p>
    <w:p w14:paraId="3DDF434A" w14:textId="26CE3771" w:rsidR="00C60BD6" w:rsidRPr="00A836B9" w:rsidRDefault="00C60BD6" w:rsidP="490E705E">
      <w:pPr>
        <w:rPr>
          <w:rFonts w:cs="Times New Roman"/>
        </w:rPr>
      </w:pPr>
      <w:r w:rsidRPr="00A836B9">
        <w:rPr>
          <w:rFonts w:cs="Times New Roman"/>
          <w:noProof/>
          <w:szCs w:val="24"/>
        </w:rPr>
        <w:drawing>
          <wp:inline distT="0" distB="0" distL="0" distR="0" wp14:anchorId="47278458" wp14:editId="520CF4BE">
            <wp:extent cx="158750" cy="15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36B9">
        <w:rPr>
          <w:rFonts w:cs="Times New Roman"/>
        </w:rPr>
        <w:t xml:space="preserve"> </w:t>
      </w:r>
      <w:r w:rsidRPr="003569E8">
        <w:rPr>
          <w:rFonts w:cs="Times New Roman"/>
        </w:rPr>
        <w:t>Budget flexibility</w:t>
      </w:r>
      <w:r w:rsidRPr="00A836B9">
        <w:rPr>
          <w:rFonts w:cs="Times New Roman"/>
        </w:rPr>
        <w:t xml:space="preserve"> — The budgets set out in the calls and topics are indicative. Unless otherwise stated, final budgets may change following evaluation. The final figures may change by up to 20% compared to the total budget indicated in each individual </w:t>
      </w:r>
      <w:r w:rsidR="005010D1" w:rsidRPr="00A836B9">
        <w:rPr>
          <w:rFonts w:cs="Times New Roman"/>
        </w:rPr>
        <w:t xml:space="preserve">part of the </w:t>
      </w:r>
      <w:r w:rsidRPr="00A836B9">
        <w:rPr>
          <w:rFonts w:cs="Times New Roman"/>
        </w:rPr>
        <w:t>work programme. Changes within these limits will not be considered substantial within the meaning of Article 110(5) of Regulation (EU, Euratom) No 2018/1046.</w:t>
      </w:r>
    </w:p>
    <w:p w14:paraId="392537D6" w14:textId="5031B85A" w:rsidR="00C60BD6" w:rsidRPr="00A836B9" w:rsidRDefault="00C60BD6" w:rsidP="490E705E">
      <w:pPr>
        <w:rPr>
          <w:rFonts w:cs="Times New Roman"/>
        </w:rPr>
      </w:pPr>
      <w:r w:rsidRPr="00A836B9">
        <w:rPr>
          <w:rFonts w:cs="Times New Roman"/>
          <w:noProof/>
          <w:szCs w:val="24"/>
        </w:rPr>
        <w:drawing>
          <wp:inline distT="0" distB="0" distL="0" distR="0" wp14:anchorId="5615EF85" wp14:editId="22929AA2">
            <wp:extent cx="158750" cy="158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36B9">
        <w:rPr>
          <w:rFonts w:cs="Times New Roman"/>
        </w:rPr>
        <w:t xml:space="preserve"> Joint and coordinated calls</w:t>
      </w:r>
      <w:r w:rsidR="009A1AA5" w:rsidRPr="00A836B9">
        <w:rPr>
          <w:rFonts w:cs="Times New Roman"/>
        </w:rPr>
        <w:t xml:space="preserve"> for proposals</w:t>
      </w:r>
      <w:r w:rsidRPr="00A836B9">
        <w:rPr>
          <w:rFonts w:cs="Times New Roman"/>
        </w:rPr>
        <w:t xml:space="preserve"> — In case</w:t>
      </w:r>
      <w:r w:rsidR="005010D1" w:rsidRPr="00A836B9">
        <w:rPr>
          <w:rFonts w:cs="Times New Roman"/>
        </w:rPr>
        <w:t>s</w:t>
      </w:r>
      <w:r w:rsidRPr="00A836B9">
        <w:rPr>
          <w:rFonts w:cs="Times New Roman"/>
        </w:rPr>
        <w:t xml:space="preserve"> of applications for</w:t>
      </w:r>
      <w:r w:rsidRPr="00A836B9">
        <w:rPr>
          <w:rFonts w:cs="Times New Roman"/>
          <w:b/>
          <w:bCs/>
        </w:rPr>
        <w:t xml:space="preserve"> joint or coordinated calls</w:t>
      </w:r>
      <w:r w:rsidRPr="00A836B9">
        <w:rPr>
          <w:rFonts w:cs="Times New Roman"/>
        </w:rPr>
        <w:t xml:space="preserve"> with third countries (including scientific and technological organisations or agencies</w:t>
      </w:r>
      <w:r w:rsidR="00AE0542" w:rsidRPr="00A836B9">
        <w:rPr>
          <w:rFonts w:cs="Times New Roman"/>
        </w:rPr>
        <w:t xml:space="preserve"> from </w:t>
      </w:r>
      <w:r w:rsidR="005010D1" w:rsidRPr="00A836B9">
        <w:rPr>
          <w:rFonts w:cs="Times New Roman"/>
        </w:rPr>
        <w:t>third</w:t>
      </w:r>
      <w:r w:rsidR="00AE0542" w:rsidRPr="00A836B9">
        <w:rPr>
          <w:rFonts w:cs="Times New Roman"/>
        </w:rPr>
        <w:t xml:space="preserve"> countries</w:t>
      </w:r>
      <w:r w:rsidRPr="00A836B9">
        <w:rPr>
          <w:rFonts w:cs="Times New Roman"/>
        </w:rPr>
        <w:t>), international organisations or non-profit legal entities, the joint selection and evaluation procedures will be indicated in the specific call conditions.</w:t>
      </w:r>
    </w:p>
    <w:p w14:paraId="63DBF14B" w14:textId="1E7A276B" w:rsidR="00C60BD6" w:rsidRPr="00A836B9" w:rsidRDefault="00C60BD6" w:rsidP="490E705E">
      <w:pPr>
        <w:rPr>
          <w:rFonts w:cs="Times New Roman"/>
        </w:rPr>
      </w:pPr>
      <w:r w:rsidRPr="00A836B9">
        <w:rPr>
          <w:rFonts w:cs="Times New Roman"/>
          <w:noProof/>
          <w:szCs w:val="24"/>
        </w:rPr>
        <w:drawing>
          <wp:inline distT="0" distB="0" distL="0" distR="0" wp14:anchorId="6D43001B" wp14:editId="3E68020C">
            <wp:extent cx="15875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36B9">
        <w:rPr>
          <w:rFonts w:cs="Times New Roman"/>
        </w:rPr>
        <w:t xml:space="preserve"> Blind evaluation pilot – If indicated in the specific call conditions, first</w:t>
      </w:r>
      <w:r w:rsidR="005010D1" w:rsidRPr="00A836B9">
        <w:rPr>
          <w:rFonts w:cs="Times New Roman"/>
        </w:rPr>
        <w:t>-</w:t>
      </w:r>
      <w:r w:rsidRPr="00A836B9">
        <w:rPr>
          <w:rFonts w:cs="Times New Roman"/>
        </w:rPr>
        <w:t>stage proposals of two-stage submissions will be evaluated blindly</w:t>
      </w:r>
      <w:r w:rsidRPr="00A836B9">
        <w:rPr>
          <w:rFonts w:cs="Times New Roman"/>
          <w:vertAlign w:val="superscript"/>
        </w:rPr>
        <w:footnoteReference w:id="19"/>
      </w:r>
      <w:r w:rsidRPr="00A836B9">
        <w:rPr>
          <w:rFonts w:cs="Times New Roman"/>
        </w:rPr>
        <w:t xml:space="preserve"> and applicants may not disclose their identity in Part B of their proposal </w:t>
      </w:r>
      <w:r w:rsidRPr="00A836B9">
        <w:rPr>
          <w:rFonts w:cs="Times New Roman"/>
          <w:i/>
          <w:iCs/>
        </w:rPr>
        <w:t xml:space="preserve">(see </w:t>
      </w:r>
      <w:r w:rsidR="00C40DC9" w:rsidRPr="00A836B9">
        <w:rPr>
          <w:rFonts w:cs="Times New Roman"/>
          <w:i/>
          <w:iCs/>
        </w:rPr>
        <w:t>Annex</w:t>
      </w:r>
      <w:r w:rsidRPr="00A836B9">
        <w:rPr>
          <w:rFonts w:cs="Times New Roman"/>
          <w:i/>
          <w:iCs/>
        </w:rPr>
        <w:t xml:space="preserve"> A)</w:t>
      </w:r>
      <w:r w:rsidRPr="00A836B9">
        <w:rPr>
          <w:rFonts w:cs="Times New Roman"/>
        </w:rPr>
        <w:t>.</w:t>
      </w:r>
    </w:p>
    <w:p w14:paraId="07C4C150" w14:textId="51BE2114" w:rsidR="00C60BD6" w:rsidRPr="00A836B9" w:rsidRDefault="00C60BD6" w:rsidP="490E705E">
      <w:pPr>
        <w:rPr>
          <w:rFonts w:cs="Times New Roman"/>
          <w:b/>
          <w:bCs/>
          <w:i/>
          <w:iCs/>
          <w:u w:val="single"/>
        </w:rPr>
      </w:pPr>
      <w:r w:rsidRPr="00A836B9">
        <w:rPr>
          <w:rFonts w:cs="Times New Roman"/>
          <w:b/>
          <w:bCs/>
          <w:i/>
          <w:iCs/>
          <w:u w:val="single"/>
        </w:rPr>
        <w:t>Evaluation review procedure</w:t>
      </w:r>
    </w:p>
    <w:p w14:paraId="2238BF3B" w14:textId="4F46FBBA" w:rsidR="00C60BD6" w:rsidRPr="00A836B9" w:rsidRDefault="00C60BD6" w:rsidP="490E705E">
      <w:pPr>
        <w:rPr>
          <w:rFonts w:cs="Times New Roman"/>
        </w:rPr>
      </w:pPr>
      <w:r w:rsidRPr="00A836B9">
        <w:rPr>
          <w:rFonts w:cs="Times New Roman"/>
        </w:rPr>
        <w:t xml:space="preserve">If the consortium believes that the evaluation procedure was flawed, the coordinator can submit a </w:t>
      </w:r>
      <w:r w:rsidRPr="00A836B9">
        <w:rPr>
          <w:rFonts w:cs="Times New Roman"/>
          <w:b/>
          <w:bCs/>
        </w:rPr>
        <w:t>complaint</w:t>
      </w:r>
      <w:r w:rsidRPr="00A836B9">
        <w:rPr>
          <w:rFonts w:cs="Times New Roman"/>
        </w:rPr>
        <w:t xml:space="preserve"> (following the deadlines and procedures set out in the evaluation result letter).</w:t>
      </w:r>
    </w:p>
    <w:p w14:paraId="760CF181" w14:textId="73767905" w:rsidR="00C60BD6" w:rsidRPr="00A836B9" w:rsidRDefault="009A1AA5" w:rsidP="490E705E">
      <w:pPr>
        <w:rPr>
          <w:rFonts w:cs="Times New Roman"/>
        </w:rPr>
      </w:pPr>
      <w:r w:rsidRPr="00A836B9">
        <w:rPr>
          <w:rFonts w:cs="Times New Roman"/>
          <w:bCs/>
        </w:rPr>
        <w:t xml:space="preserve">Only the procedural aspects of an evaluation may be the subject of a request for an evaluation review. The </w:t>
      </w:r>
      <w:r w:rsidR="00BA25B0" w:rsidRPr="00A836B9">
        <w:rPr>
          <w:rFonts w:cs="Times New Roman"/>
          <w:bCs/>
        </w:rPr>
        <w:t xml:space="preserve">evaluation of the </w:t>
      </w:r>
      <w:r w:rsidRPr="00A836B9">
        <w:rPr>
          <w:rFonts w:cs="Times New Roman"/>
          <w:bCs/>
        </w:rPr>
        <w:t>merits of a proposal will not be the subject of an evaluation review.</w:t>
      </w:r>
    </w:p>
    <w:p w14:paraId="6999CF1B" w14:textId="22BD7F91" w:rsidR="00C60BD6" w:rsidRPr="00A836B9" w:rsidRDefault="00C60BD6" w:rsidP="490E705E">
      <w:pPr>
        <w:rPr>
          <w:rFonts w:cs="Times New Roman"/>
        </w:rPr>
      </w:pPr>
      <w:r w:rsidRPr="00A836B9">
        <w:rPr>
          <w:rFonts w:cs="Times New Roman"/>
        </w:rPr>
        <w:t xml:space="preserve">A request for </w:t>
      </w:r>
      <w:r w:rsidR="009A1AA5" w:rsidRPr="00A836B9">
        <w:rPr>
          <w:rFonts w:cs="Times New Roman"/>
        </w:rPr>
        <w:t xml:space="preserve">an evaluation </w:t>
      </w:r>
      <w:r w:rsidRPr="00A836B9">
        <w:rPr>
          <w:rFonts w:cs="Times New Roman"/>
        </w:rPr>
        <w:t>review must relate to a specific proposal and must be submitted within 30 days after the beneficiary access</w:t>
      </w:r>
      <w:r w:rsidR="00AE0542" w:rsidRPr="00A836B9">
        <w:rPr>
          <w:rFonts w:cs="Times New Roman"/>
        </w:rPr>
        <w:t>es</w:t>
      </w:r>
      <w:r w:rsidRPr="00A836B9">
        <w:rPr>
          <w:rFonts w:cs="Times New Roman"/>
        </w:rPr>
        <w:t xml:space="preserve"> the evaluation results. The </w:t>
      </w:r>
      <w:r w:rsidR="00AE0542" w:rsidRPr="00A836B9">
        <w:rPr>
          <w:rFonts w:cs="Times New Roman"/>
        </w:rPr>
        <w:t xml:space="preserve">maximum size </w:t>
      </w:r>
      <w:r w:rsidRPr="00A836B9">
        <w:rPr>
          <w:rFonts w:cs="Times New Roman"/>
        </w:rPr>
        <w:t>limit of the request is 5</w:t>
      </w:r>
      <w:r w:rsidR="00AE0542" w:rsidRPr="00A836B9">
        <w:rPr>
          <w:rFonts w:cs="Times New Roman"/>
        </w:rPr>
        <w:t xml:space="preserve"> </w:t>
      </w:r>
      <w:r w:rsidRPr="00A836B9">
        <w:rPr>
          <w:rFonts w:cs="Times New Roman"/>
        </w:rPr>
        <w:t xml:space="preserve">000 characters. </w:t>
      </w:r>
      <w:r w:rsidR="00F92BF7">
        <w:rPr>
          <w:rFonts w:cs="Times New Roman"/>
        </w:rPr>
        <w:t>N</w:t>
      </w:r>
      <w:r w:rsidRPr="00A836B9">
        <w:rPr>
          <w:rFonts w:cs="Times New Roman"/>
        </w:rPr>
        <w:t xml:space="preserve">otifications of evaluation results which have not been opened in the Funding &amp; Tenders Portal within 10 days after sending are considered to have been accessed and that deadlines will be counted from </w:t>
      </w:r>
      <w:r w:rsidR="005010D1" w:rsidRPr="00A836B9">
        <w:rPr>
          <w:rFonts w:cs="Times New Roman"/>
        </w:rPr>
        <w:t xml:space="preserve">the date of </w:t>
      </w:r>
      <w:r w:rsidRPr="00A836B9">
        <w:rPr>
          <w:rFonts w:cs="Times New Roman"/>
        </w:rPr>
        <w:t xml:space="preserve">opening/access </w:t>
      </w:r>
      <w:r w:rsidRPr="00A836B9">
        <w:rPr>
          <w:rFonts w:cs="Times New Roman"/>
          <w:i/>
          <w:iCs/>
        </w:rPr>
        <w:t xml:space="preserve">(see also </w:t>
      </w:r>
      <w:hyperlink r:id="rId23" w:history="1">
        <w:r w:rsidRPr="00A836B9">
          <w:rPr>
            <w:rFonts w:cs="Times New Roman"/>
            <w:i/>
            <w:iCs/>
            <w:color w:val="0088CC"/>
            <w:u w:val="single"/>
          </w:rPr>
          <w:t>Funding &amp; Tenders Portal Terms and Conditions</w:t>
        </w:r>
      </w:hyperlink>
      <w:r w:rsidRPr="00A836B9">
        <w:rPr>
          <w:rFonts w:cs="Times New Roman"/>
          <w:i/>
          <w:iCs/>
        </w:rPr>
        <w:t>)</w:t>
      </w:r>
      <w:r w:rsidRPr="00A836B9">
        <w:rPr>
          <w:rFonts w:cs="Times New Roman"/>
        </w:rPr>
        <w:t>.</w:t>
      </w:r>
    </w:p>
    <w:p w14:paraId="4CAB38B7" w14:textId="716D114E" w:rsidR="00C60BD6" w:rsidRPr="00A836B9" w:rsidRDefault="00C60BD6" w:rsidP="490E705E">
      <w:pPr>
        <w:rPr>
          <w:rFonts w:cs="Times New Roman"/>
        </w:rPr>
      </w:pPr>
      <w:r w:rsidRPr="00A836B9">
        <w:rPr>
          <w:rFonts w:cs="Times New Roman"/>
        </w:rPr>
        <w:t>An evaluation review committee will provide an opinion on the procedural aspects</w:t>
      </w:r>
      <w:r w:rsidR="009A1AA5" w:rsidRPr="00A836B9">
        <w:rPr>
          <w:rFonts w:cs="Times New Roman"/>
        </w:rPr>
        <w:t xml:space="preserve"> of the evaluation</w:t>
      </w:r>
      <w:r w:rsidRPr="00A836B9">
        <w:rPr>
          <w:rFonts w:cs="Times New Roman"/>
        </w:rPr>
        <w:t xml:space="preserve">. The </w:t>
      </w:r>
      <w:r w:rsidR="009A1AA5" w:rsidRPr="00A836B9">
        <w:rPr>
          <w:rFonts w:cs="Times New Roman"/>
        </w:rPr>
        <w:t xml:space="preserve">evaluation review </w:t>
      </w:r>
      <w:r w:rsidRPr="00A836B9">
        <w:rPr>
          <w:rFonts w:cs="Times New Roman"/>
        </w:rPr>
        <w:t>committee may recommend a re-evaluation of the proposal</w:t>
      </w:r>
      <w:r w:rsidR="005010D1" w:rsidRPr="00A836B9">
        <w:rPr>
          <w:rFonts w:cs="Times New Roman"/>
        </w:rPr>
        <w:t>,</w:t>
      </w:r>
      <w:r w:rsidRPr="00A836B9">
        <w:rPr>
          <w:rFonts w:cs="Times New Roman"/>
        </w:rPr>
        <w:t xml:space="preserve"> </w:t>
      </w:r>
      <w:r w:rsidR="009A1AA5" w:rsidRPr="00A836B9">
        <w:rPr>
          <w:rFonts w:cs="Times New Roman"/>
        </w:rPr>
        <w:t>to be carried out by evaluators who were not involved in the previous evaluation</w:t>
      </w:r>
      <w:r w:rsidR="005010D1" w:rsidRPr="00A836B9">
        <w:rPr>
          <w:rFonts w:cs="Times New Roman"/>
        </w:rPr>
        <w:t>,</w:t>
      </w:r>
      <w:r w:rsidR="009A1AA5" w:rsidRPr="00A836B9">
        <w:rPr>
          <w:rFonts w:cs="Times New Roman"/>
        </w:rPr>
        <w:t xml:space="preserve"> </w:t>
      </w:r>
      <w:r w:rsidRPr="00A836B9">
        <w:rPr>
          <w:rFonts w:cs="Times New Roman"/>
        </w:rPr>
        <w:t>or a confirmation of the initial evaluation.</w:t>
      </w:r>
    </w:p>
    <w:p w14:paraId="5FABB2A0" w14:textId="5AD3B1AB" w:rsidR="00C60BD6" w:rsidRPr="00A836B9" w:rsidRDefault="00C60BD6" w:rsidP="490E705E">
      <w:pPr>
        <w:rPr>
          <w:rFonts w:cs="Times New Roman"/>
          <w:b/>
          <w:bCs/>
          <w:i/>
          <w:iCs/>
          <w:u w:val="single"/>
        </w:rPr>
      </w:pPr>
      <w:r w:rsidRPr="00A836B9">
        <w:rPr>
          <w:rFonts w:cs="Times New Roman"/>
          <w:b/>
          <w:bCs/>
          <w:i/>
          <w:iCs/>
          <w:u w:val="single"/>
        </w:rPr>
        <w:t xml:space="preserve">Indicative timetable for evaluation and </w:t>
      </w:r>
      <w:r w:rsidR="00BF04BA" w:rsidRPr="00A836B9">
        <w:rPr>
          <w:rFonts w:cs="Times New Roman"/>
          <w:b/>
          <w:bCs/>
          <w:i/>
          <w:iCs/>
          <w:u w:val="single"/>
        </w:rPr>
        <w:t xml:space="preserve">for signature of the </w:t>
      </w:r>
      <w:r w:rsidRPr="00A836B9">
        <w:rPr>
          <w:rFonts w:cs="Times New Roman"/>
          <w:b/>
          <w:bCs/>
          <w:i/>
          <w:iCs/>
          <w:u w:val="single"/>
        </w:rPr>
        <w:t>grant agreement</w:t>
      </w:r>
    </w:p>
    <w:p w14:paraId="58F07E6A" w14:textId="0653DEB7" w:rsidR="00C60BD6" w:rsidRPr="00A836B9" w:rsidRDefault="00C60BD6" w:rsidP="490E705E">
      <w:pPr>
        <w:rPr>
          <w:rFonts w:cs="Times New Roman"/>
        </w:rPr>
      </w:pPr>
      <w:r w:rsidRPr="00A836B9">
        <w:rPr>
          <w:rFonts w:cs="Times New Roman"/>
        </w:rPr>
        <w:t xml:space="preserve">Unless otherwise </w:t>
      </w:r>
      <w:r w:rsidR="00891BD7">
        <w:rPr>
          <w:rFonts w:cs="Times New Roman"/>
        </w:rPr>
        <w:t>stated</w:t>
      </w:r>
      <w:r w:rsidRPr="00A836B9">
        <w:rPr>
          <w:rFonts w:cs="Times New Roman"/>
        </w:rPr>
        <w:t xml:space="preserve"> in the specific call conditions, the timing for evaluation and grant preparation is as follows: </w:t>
      </w:r>
    </w:p>
    <w:p w14:paraId="1D2E7DA1" w14:textId="03819EB0" w:rsidR="00C60BD6" w:rsidRPr="00A836B9" w:rsidRDefault="00AE0542" w:rsidP="490E705E">
      <w:pPr>
        <w:numPr>
          <w:ilvl w:val="0"/>
          <w:numId w:val="13"/>
        </w:numPr>
        <w:rPr>
          <w:rFonts w:cs="Times New Roman"/>
        </w:rPr>
      </w:pPr>
      <w:r w:rsidRPr="00A836B9">
        <w:rPr>
          <w:rFonts w:cs="Times New Roman"/>
        </w:rPr>
        <w:t>i</w:t>
      </w:r>
      <w:r w:rsidR="00C60BD6" w:rsidRPr="00A836B9">
        <w:rPr>
          <w:rFonts w:cs="Times New Roman"/>
        </w:rPr>
        <w:t xml:space="preserve">nformation on the outcome of the evaluation: </w:t>
      </w:r>
      <w:r w:rsidR="00BF04BA" w:rsidRPr="00A836B9">
        <w:rPr>
          <w:rFonts w:cs="Times New Roman"/>
        </w:rPr>
        <w:t>around</w:t>
      </w:r>
      <w:r w:rsidR="00C60BD6" w:rsidRPr="00A836B9">
        <w:rPr>
          <w:rFonts w:cs="Times New Roman"/>
        </w:rPr>
        <w:t xml:space="preserve"> 5 months from the deadline for submission</w:t>
      </w:r>
      <w:r w:rsidR="00BF04BA" w:rsidRPr="00A836B9">
        <w:rPr>
          <w:rFonts w:cs="Times New Roman"/>
        </w:rPr>
        <w:t>;</w:t>
      </w:r>
      <w:r w:rsidR="00C60BD6" w:rsidRPr="00A836B9">
        <w:rPr>
          <w:rFonts w:cs="Times New Roman"/>
        </w:rPr>
        <w:t xml:space="preserve"> </w:t>
      </w:r>
    </w:p>
    <w:p w14:paraId="1B964A27" w14:textId="16DF87F6" w:rsidR="00C60BD6" w:rsidRPr="00A836B9" w:rsidRDefault="00AE0542" w:rsidP="490E705E">
      <w:pPr>
        <w:numPr>
          <w:ilvl w:val="0"/>
          <w:numId w:val="13"/>
        </w:numPr>
        <w:rPr>
          <w:rFonts w:cs="Times New Roman"/>
        </w:rPr>
      </w:pPr>
      <w:r w:rsidRPr="00A836B9">
        <w:rPr>
          <w:rFonts w:cs="Times New Roman"/>
        </w:rPr>
        <w:t>i</w:t>
      </w:r>
      <w:r w:rsidR="00C60BD6" w:rsidRPr="00A836B9">
        <w:rPr>
          <w:rFonts w:cs="Times New Roman"/>
        </w:rPr>
        <w:t xml:space="preserve">ndicative date for the signing of grant agreements: </w:t>
      </w:r>
      <w:r w:rsidR="00BF04BA" w:rsidRPr="00A836B9">
        <w:rPr>
          <w:rFonts w:cs="Times New Roman"/>
        </w:rPr>
        <w:t>around</w:t>
      </w:r>
      <w:r w:rsidR="00C60BD6" w:rsidRPr="00A836B9">
        <w:rPr>
          <w:rFonts w:cs="Times New Roman"/>
        </w:rPr>
        <w:t xml:space="preserve"> 8 months from the deadline for submission. </w:t>
      </w:r>
    </w:p>
    <w:p w14:paraId="6FA78AA3" w14:textId="09641568" w:rsidR="00C60BD6" w:rsidRPr="00A836B9" w:rsidRDefault="00C60BD6" w:rsidP="490E705E">
      <w:pPr>
        <w:rPr>
          <w:rFonts w:cs="Times New Roman"/>
        </w:rPr>
      </w:pPr>
      <w:r w:rsidRPr="00A836B9">
        <w:rPr>
          <w:rFonts w:cs="Times New Roman"/>
        </w:rPr>
        <w:t>For two</w:t>
      </w:r>
      <w:r w:rsidR="00AE0542" w:rsidRPr="00A836B9">
        <w:rPr>
          <w:rFonts w:cs="Times New Roman"/>
        </w:rPr>
        <w:t>-</w:t>
      </w:r>
      <w:r w:rsidRPr="00A836B9">
        <w:rPr>
          <w:rFonts w:cs="Times New Roman"/>
        </w:rPr>
        <w:t>stage calls</w:t>
      </w:r>
      <w:r w:rsidR="00AE0542" w:rsidRPr="00A836B9">
        <w:rPr>
          <w:rFonts w:cs="Times New Roman"/>
        </w:rPr>
        <w:t>,</w:t>
      </w:r>
      <w:r w:rsidRPr="00A836B9">
        <w:rPr>
          <w:rFonts w:cs="Times New Roman"/>
        </w:rPr>
        <w:t xml:space="preserve"> the timing is a bit different (for the evaluation result: 3 months for the first stage, 5 months for the second stage</w:t>
      </w:r>
      <w:r w:rsidR="00BF04BA" w:rsidRPr="00A836B9">
        <w:rPr>
          <w:rFonts w:cs="Times New Roman"/>
        </w:rPr>
        <w:t>, and</w:t>
      </w:r>
      <w:r w:rsidRPr="00A836B9">
        <w:rPr>
          <w:rFonts w:cs="Times New Roman"/>
        </w:rPr>
        <w:t xml:space="preserve"> </w:t>
      </w:r>
      <w:r w:rsidR="00AE0542" w:rsidRPr="00A836B9">
        <w:rPr>
          <w:rFonts w:cs="Times New Roman"/>
        </w:rPr>
        <w:t xml:space="preserve">8 months </w:t>
      </w:r>
      <w:r w:rsidRPr="00A836B9">
        <w:rPr>
          <w:rFonts w:cs="Times New Roman"/>
        </w:rPr>
        <w:t xml:space="preserve">for </w:t>
      </w:r>
      <w:r w:rsidR="00BF04BA" w:rsidRPr="00A836B9">
        <w:rPr>
          <w:rFonts w:cs="Times New Roman"/>
        </w:rPr>
        <w:t xml:space="preserve">signature of </w:t>
      </w:r>
      <w:r w:rsidRPr="00A836B9">
        <w:rPr>
          <w:rFonts w:cs="Times New Roman"/>
        </w:rPr>
        <w:t xml:space="preserve">the grant agreement in </w:t>
      </w:r>
      <w:r w:rsidR="00BF04BA" w:rsidRPr="00A836B9">
        <w:rPr>
          <w:rFonts w:cs="Times New Roman"/>
        </w:rPr>
        <w:t xml:space="preserve">the </w:t>
      </w:r>
      <w:r w:rsidRPr="00A836B9">
        <w:rPr>
          <w:rFonts w:cs="Times New Roman"/>
        </w:rPr>
        <w:t>second stage).</w:t>
      </w:r>
    </w:p>
    <w:p w14:paraId="57C9882F" w14:textId="77777777" w:rsidR="00C60BD6" w:rsidRPr="00A836B9" w:rsidRDefault="00C60BD6" w:rsidP="00C60BD6"/>
    <w:p w14:paraId="697A6629" w14:textId="77777777" w:rsidR="00C60BD6" w:rsidRPr="00A836B9" w:rsidRDefault="00C60BD6" w:rsidP="00C60BD6"/>
    <w:p w14:paraId="17AE331A" w14:textId="77777777" w:rsidR="00C60BD6" w:rsidRPr="00A836B9" w:rsidRDefault="00C60BD6" w:rsidP="00C60BD6"/>
    <w:p w14:paraId="10EB17C2" w14:textId="77777777" w:rsidR="00C60BD6" w:rsidRPr="00A836B9" w:rsidRDefault="00C60BD6" w:rsidP="00C60BD6"/>
    <w:p w14:paraId="25FB2081" w14:textId="77777777" w:rsidR="00C60BD6" w:rsidRPr="00A836B9" w:rsidRDefault="00C60BD6" w:rsidP="00C60BD6"/>
    <w:p w14:paraId="2E1AC317" w14:textId="77777777" w:rsidR="00C60BD6" w:rsidRPr="00A836B9" w:rsidRDefault="00C60BD6" w:rsidP="00C60BD6"/>
    <w:p w14:paraId="53BB151B" w14:textId="77777777" w:rsidR="00C60BD6" w:rsidRPr="00A836B9" w:rsidRDefault="00C60BD6" w:rsidP="00C60BD6">
      <w:pPr>
        <w:jc w:val="left"/>
        <w:rPr>
          <w:rFonts w:eastAsiaTheme="majorEastAsia" w:cs="Times New Roman"/>
          <w:b/>
          <w:bCs/>
          <w:szCs w:val="28"/>
        </w:rPr>
      </w:pPr>
      <w:r w:rsidRPr="00A836B9">
        <w:br w:type="page"/>
      </w:r>
    </w:p>
    <w:p w14:paraId="4B259F26" w14:textId="77777777" w:rsidR="00C60BD6" w:rsidRPr="00A836B9" w:rsidRDefault="00C60BD6" w:rsidP="490E705E">
      <w:pPr>
        <w:keepNext/>
        <w:keepLines/>
        <w:spacing w:before="240" w:after="240"/>
        <w:outlineLvl w:val="1"/>
        <w:rPr>
          <w:rFonts w:eastAsiaTheme="majorEastAsia" w:cs="Times New Roman"/>
          <w:b/>
          <w:bCs/>
        </w:rPr>
      </w:pPr>
      <w:bookmarkStart w:id="11" w:name="_Toc66355173"/>
      <w:r w:rsidRPr="00A836B9">
        <w:rPr>
          <w:rFonts w:eastAsiaTheme="majorEastAsia" w:cs="Times New Roman"/>
          <w:b/>
          <w:bCs/>
        </w:rPr>
        <w:t>G — Legal and financial set-up of the grant agreements</w:t>
      </w:r>
      <w:bookmarkEnd w:id="11"/>
    </w:p>
    <w:p w14:paraId="7D5755AF" w14:textId="58B3502E" w:rsidR="00C60BD6" w:rsidRPr="00A836B9" w:rsidRDefault="00C60BD6" w:rsidP="00C60BD6">
      <w:r w:rsidRPr="00A836B9">
        <w:t xml:space="preserve">During </w:t>
      </w:r>
      <w:r w:rsidR="00BF04BA" w:rsidRPr="00A836B9">
        <w:t xml:space="preserve">the </w:t>
      </w:r>
      <w:r w:rsidRPr="00A836B9">
        <w:t>grant preparation</w:t>
      </w:r>
      <w:r w:rsidR="00BF04BA" w:rsidRPr="00A836B9">
        <w:t xml:space="preserve"> stage</w:t>
      </w:r>
      <w:r w:rsidRPr="00A836B9">
        <w:t xml:space="preserve">, the consortium will be asked to prepare the </w:t>
      </w:r>
      <w:hyperlink r:id="rId24" w:history="1">
        <w:r w:rsidRPr="003A04D2">
          <w:rPr>
            <w:rStyle w:val="Hyperlink"/>
          </w:rPr>
          <w:t>grant agreement</w:t>
        </w:r>
      </w:hyperlink>
      <w:r w:rsidRPr="00A836B9">
        <w:t xml:space="preserve">, together with the EU project officer. </w:t>
      </w:r>
    </w:p>
    <w:p w14:paraId="1A7F1576" w14:textId="5F95EC5A" w:rsidR="00C60BD6" w:rsidRPr="00A836B9" w:rsidRDefault="00C60BD6" w:rsidP="00C60BD6">
      <w:r w:rsidRPr="00A836B9">
        <w:t>This grant agreement will set out the framework for the grant and its terms and conditions, particular</w:t>
      </w:r>
      <w:r w:rsidR="00BF04BA" w:rsidRPr="00A836B9">
        <w:t>ly</w:t>
      </w:r>
      <w:r w:rsidRPr="00A836B9">
        <w:t xml:space="preserve"> concerning deliverables, reporting and payments. </w:t>
      </w:r>
      <w:r w:rsidR="00B81DDA" w:rsidRPr="00A836B9">
        <w:t xml:space="preserve">The applicable </w:t>
      </w:r>
      <w:r w:rsidRPr="00A836B9">
        <w:t>model</w:t>
      </w:r>
      <w:r w:rsidR="00B81DDA" w:rsidRPr="00A836B9">
        <w:t xml:space="preserve"> with the </w:t>
      </w:r>
      <w:r w:rsidR="001C0C7A" w:rsidRPr="00A836B9">
        <w:t>complete text of</w:t>
      </w:r>
      <w:r w:rsidR="00B81DDA" w:rsidRPr="00A836B9">
        <w:t xml:space="preserve"> </w:t>
      </w:r>
      <w:r w:rsidR="001C0C7A" w:rsidRPr="00A836B9">
        <w:t xml:space="preserve">the </w:t>
      </w:r>
      <w:r w:rsidR="00B81DDA" w:rsidRPr="00A836B9">
        <w:t>provisions</w:t>
      </w:r>
      <w:r w:rsidRPr="00A836B9">
        <w:t xml:space="preserve"> is available on the topic page, together with the other call documentation.</w:t>
      </w:r>
    </w:p>
    <w:p w14:paraId="1866FF26" w14:textId="77777777" w:rsidR="00C60BD6" w:rsidRPr="00A836B9" w:rsidRDefault="00C60BD6" w:rsidP="490E705E">
      <w:pPr>
        <w:rPr>
          <w:b/>
          <w:bCs/>
          <w:i/>
          <w:iCs/>
          <w:u w:val="single"/>
        </w:rPr>
      </w:pPr>
      <w:r w:rsidRPr="00A836B9">
        <w:rPr>
          <w:b/>
          <w:bCs/>
          <w:i/>
          <w:iCs/>
          <w:u w:val="single"/>
        </w:rPr>
        <w:t xml:space="preserve">Starting date &amp; project duration </w:t>
      </w:r>
    </w:p>
    <w:p w14:paraId="42571FE2" w14:textId="27F8D52D" w:rsidR="00C60BD6" w:rsidRPr="00A836B9" w:rsidRDefault="00C60BD6" w:rsidP="00C60BD6">
      <w:r w:rsidRPr="00A836B9">
        <w:t xml:space="preserve">The project starting date and duration will be fixed in the grant agreement (Data Sheet, point 1). Normally, the starting date will be after </w:t>
      </w:r>
      <w:r w:rsidR="00BF04BA" w:rsidRPr="00A836B9">
        <w:t xml:space="preserve">the </w:t>
      </w:r>
      <w:r w:rsidRPr="00A836B9">
        <w:t xml:space="preserve">grant </w:t>
      </w:r>
      <w:r w:rsidR="00BF04BA" w:rsidRPr="00A836B9">
        <w:t xml:space="preserve">has been </w:t>
      </w:r>
      <w:r w:rsidRPr="00A836B9">
        <w:t>sign</w:t>
      </w:r>
      <w:r w:rsidR="00BF04BA" w:rsidRPr="00A836B9">
        <w:t>ed</w:t>
      </w:r>
      <w:r w:rsidRPr="00A836B9">
        <w:t xml:space="preserve">. A starting date before the date </w:t>
      </w:r>
      <w:r w:rsidR="00BF04BA" w:rsidRPr="00A836B9">
        <w:t>the</w:t>
      </w:r>
      <w:r w:rsidRPr="00A836B9">
        <w:t xml:space="preserve"> grant </w:t>
      </w:r>
      <w:r w:rsidR="00BF04BA" w:rsidRPr="00A836B9">
        <w:t xml:space="preserve">is </w:t>
      </w:r>
      <w:r w:rsidRPr="00A836B9">
        <w:t>sign</w:t>
      </w:r>
      <w:r w:rsidR="00BF04BA" w:rsidRPr="00A836B9">
        <w:t>ed</w:t>
      </w:r>
      <w:r w:rsidRPr="00A836B9">
        <w:t xml:space="preserve"> (retroactive) can be granted exceptionally for duly justified reasons.</w:t>
      </w:r>
    </w:p>
    <w:p w14:paraId="236EFB18" w14:textId="1016E496" w:rsidR="00C60BD6" w:rsidRPr="00A836B9" w:rsidRDefault="00C60BD6" w:rsidP="00C60BD6">
      <w:r w:rsidRPr="00A836B9">
        <w:t xml:space="preserve">The project duration is provided in months (extensions will be possible only exceptionally, for duly justified reasons and </w:t>
      </w:r>
      <w:r w:rsidR="008431FC" w:rsidRPr="00A836B9">
        <w:t>if</w:t>
      </w:r>
      <w:r w:rsidRPr="00A836B9">
        <w:t xml:space="preserve"> the granting authority</w:t>
      </w:r>
      <w:r w:rsidR="008431FC" w:rsidRPr="00A836B9">
        <w:t xml:space="preserve"> agrees</w:t>
      </w:r>
      <w:r w:rsidRPr="00A836B9">
        <w:t>).</w:t>
      </w:r>
    </w:p>
    <w:p w14:paraId="73A380F6" w14:textId="77777777" w:rsidR="00C60BD6" w:rsidRPr="00A836B9" w:rsidRDefault="00C60BD6" w:rsidP="490E705E">
      <w:pPr>
        <w:rPr>
          <w:b/>
          <w:bCs/>
          <w:i/>
          <w:iCs/>
          <w:u w:val="single"/>
        </w:rPr>
      </w:pPr>
      <w:r w:rsidRPr="00A836B9">
        <w:rPr>
          <w:b/>
          <w:bCs/>
          <w:i/>
          <w:iCs/>
          <w:u w:val="single"/>
        </w:rPr>
        <w:t>Milestones and deliverables</w:t>
      </w:r>
    </w:p>
    <w:p w14:paraId="629754E0" w14:textId="30E371C7" w:rsidR="00C60BD6" w:rsidRPr="00A836B9" w:rsidRDefault="00C60BD6" w:rsidP="00C60BD6">
      <w:r w:rsidRPr="00A836B9">
        <w:t xml:space="preserve">The milestones and deliverables for each project will be managed through the </w:t>
      </w:r>
      <w:r w:rsidR="00FB030A" w:rsidRPr="00A836B9">
        <w:t>g</w:t>
      </w:r>
      <w:r w:rsidRPr="00A836B9">
        <w:t xml:space="preserve">rant </w:t>
      </w:r>
      <w:r w:rsidR="00FB030A" w:rsidRPr="00A836B9">
        <w:t>m</w:t>
      </w:r>
      <w:r w:rsidRPr="00A836B9">
        <w:t xml:space="preserve">anagement </w:t>
      </w:r>
      <w:r w:rsidR="00FB030A" w:rsidRPr="00A836B9">
        <w:t>s</w:t>
      </w:r>
      <w:r w:rsidRPr="00A836B9">
        <w:t xml:space="preserve">ystem in the Portal and are reflected in </w:t>
      </w:r>
      <w:r w:rsidR="00C40DC9" w:rsidRPr="00A836B9">
        <w:t>Annex</w:t>
      </w:r>
      <w:r w:rsidRPr="00A836B9">
        <w:t xml:space="preserve"> 1 of the grant agreement.</w:t>
      </w:r>
    </w:p>
    <w:p w14:paraId="62A00AC9" w14:textId="77777777" w:rsidR="00C60BD6" w:rsidRPr="00A836B9" w:rsidRDefault="00C60BD6" w:rsidP="00C60BD6">
      <w:r w:rsidRPr="00A836B9">
        <w:t xml:space="preserve">The standard deliverables will be set out in the specific call conditions. </w:t>
      </w:r>
    </w:p>
    <w:p w14:paraId="30CAB310" w14:textId="77777777" w:rsidR="00C60BD6" w:rsidRPr="00A836B9" w:rsidRDefault="00C60BD6" w:rsidP="490E705E">
      <w:pPr>
        <w:rPr>
          <w:b/>
          <w:bCs/>
          <w:i/>
          <w:iCs/>
          <w:u w:val="single"/>
        </w:rPr>
      </w:pPr>
      <w:r w:rsidRPr="00A836B9">
        <w:rPr>
          <w:b/>
          <w:bCs/>
          <w:i/>
          <w:iCs/>
          <w:u w:val="single"/>
        </w:rPr>
        <w:t>Form of grant, funding rate and maximum grant amount</w:t>
      </w:r>
    </w:p>
    <w:p w14:paraId="6B4431D2" w14:textId="2D4E2C69" w:rsidR="00C60BD6" w:rsidRPr="00A836B9" w:rsidRDefault="00C60BD6" w:rsidP="00C60BD6">
      <w:r w:rsidRPr="00A836B9">
        <w:t xml:space="preserve">The grant parameters </w:t>
      </w:r>
      <w:r w:rsidRPr="00A836B9">
        <w:rPr>
          <w:iCs/>
        </w:rPr>
        <w:t>(maximum grant amount, funding rate, total eligible costs</w:t>
      </w:r>
      <w:r w:rsidR="008431FC" w:rsidRPr="00A836B9">
        <w:rPr>
          <w:iCs/>
        </w:rPr>
        <w:t>,</w:t>
      </w:r>
      <w:r w:rsidRPr="00A836B9">
        <w:rPr>
          <w:iCs/>
        </w:rPr>
        <w:t xml:space="preserve"> etc</w:t>
      </w:r>
      <w:r w:rsidR="008431FC" w:rsidRPr="00A836B9">
        <w:rPr>
          <w:iCs/>
        </w:rPr>
        <w:t>.</w:t>
      </w:r>
      <w:r w:rsidRPr="00A836B9">
        <w:rPr>
          <w:iCs/>
        </w:rPr>
        <w:t>)</w:t>
      </w:r>
      <w:r w:rsidRPr="00A836B9">
        <w:t xml:space="preserve"> will be fixed in the grant agreement </w:t>
      </w:r>
      <w:r w:rsidRPr="00A836B9">
        <w:rPr>
          <w:i/>
          <w:iCs/>
        </w:rPr>
        <w:t>(Data Sheet, point 3 and art</w:t>
      </w:r>
      <w:r w:rsidR="00FB030A" w:rsidRPr="00A836B9">
        <w:rPr>
          <w:i/>
          <w:iCs/>
        </w:rPr>
        <w:t>icle</w:t>
      </w:r>
      <w:r w:rsidRPr="00A836B9">
        <w:rPr>
          <w:i/>
          <w:iCs/>
        </w:rPr>
        <w:t xml:space="preserve"> 5).</w:t>
      </w:r>
    </w:p>
    <w:p w14:paraId="32382A4B" w14:textId="77777777" w:rsidR="00C60BD6" w:rsidRPr="00A836B9" w:rsidRDefault="00C60BD6" w:rsidP="00C60BD6">
      <w:r w:rsidRPr="00A836B9">
        <w:t xml:space="preserve">The project budget is provided in EUR. The amount of the grant awarded may be lower than the amount requested. </w:t>
      </w:r>
    </w:p>
    <w:p w14:paraId="2FBB5364" w14:textId="57D30B8A" w:rsidR="00C60BD6" w:rsidRPr="00A836B9" w:rsidRDefault="00C60BD6" w:rsidP="00C60BD6">
      <w:r w:rsidRPr="00A836B9">
        <w:t xml:space="preserve">For </w:t>
      </w:r>
      <w:r w:rsidRPr="00A836B9">
        <w:rPr>
          <w:b/>
          <w:bCs/>
        </w:rPr>
        <w:t>actual cost grants</w:t>
      </w:r>
      <w:r w:rsidRPr="00A836B9">
        <w:t>, the grant will be a budget-based</w:t>
      </w:r>
      <w:r w:rsidR="00FB030A" w:rsidRPr="00A836B9">
        <w:t>,</w:t>
      </w:r>
      <w:r w:rsidRPr="00A836B9">
        <w:t xml:space="preserve"> mixed actual cost grant. This means that it will reimburse ONLY certain types of costs (eligible costs) and ONLY those costs </w:t>
      </w:r>
      <w:r w:rsidRPr="00A836B9">
        <w:rPr>
          <w:i/>
          <w:iCs/>
        </w:rPr>
        <w:t>actually</w:t>
      </w:r>
      <w:r w:rsidRPr="00A836B9">
        <w:t xml:space="preserve"> incurred for the project (NOT the </w:t>
      </w:r>
      <w:r w:rsidRPr="00A836B9">
        <w:rPr>
          <w:i/>
          <w:iCs/>
        </w:rPr>
        <w:t>budgeted</w:t>
      </w:r>
      <w:r w:rsidRPr="00A836B9">
        <w:t xml:space="preserve"> costs). </w:t>
      </w:r>
    </w:p>
    <w:p w14:paraId="407AFC7E" w14:textId="77777777" w:rsidR="00C60BD6" w:rsidRPr="00A836B9" w:rsidRDefault="00C60BD6" w:rsidP="00C60BD6">
      <w:r w:rsidRPr="00A836B9">
        <w:t xml:space="preserve">The costs will be reimbursed at the funding rate fixed in the specific call conditions and in the grant agreement. </w:t>
      </w:r>
    </w:p>
    <w:p w14:paraId="49354D75" w14:textId="77777777" w:rsidR="00C60BD6" w:rsidRPr="00A836B9" w:rsidRDefault="00C60BD6" w:rsidP="00C60BD6">
      <w:r w:rsidRPr="00A836B9">
        <w:t>Such grants may NOT produce a profit. If there is a profit (i.e. surplus of revenues + EU grant over costs), it will be deducted from the final grant amount.</w:t>
      </w:r>
    </w:p>
    <w:p w14:paraId="1CE9599F" w14:textId="77777777" w:rsidR="00C60BD6" w:rsidRPr="00A836B9" w:rsidRDefault="00C60BD6" w:rsidP="00C60BD6">
      <w:r w:rsidRPr="00A836B9">
        <w:t xml:space="preserve">Moreover, the final grant amount may be reduced in case of non-compliance </w:t>
      </w:r>
      <w:r w:rsidRPr="00A836B9">
        <w:rPr>
          <w:iCs/>
        </w:rPr>
        <w:t>(e.g. improper implementation, breach of obligations, etc.)</w:t>
      </w:r>
      <w:r w:rsidRPr="00A836B9">
        <w:t>.</w:t>
      </w:r>
    </w:p>
    <w:p w14:paraId="3F1FF39E" w14:textId="6225526E" w:rsidR="00C60BD6" w:rsidRPr="00A836B9" w:rsidRDefault="003670CC" w:rsidP="00C60BD6">
      <w:r w:rsidRPr="00A836B9">
        <w:t xml:space="preserve">The </w:t>
      </w:r>
      <w:r w:rsidR="0049153E" w:rsidRPr="00A836B9">
        <w:t xml:space="preserve">maximum </w:t>
      </w:r>
      <w:r w:rsidR="00C60BD6" w:rsidRPr="00A836B9">
        <w:t>Horizon Europe funding rates are as follows:</w:t>
      </w:r>
    </w:p>
    <w:p w14:paraId="47D1B97B" w14:textId="77777777" w:rsidR="00C60BD6" w:rsidRPr="00A836B9" w:rsidRDefault="00C60BD6" w:rsidP="00C60BD6">
      <w:pPr>
        <w:numPr>
          <w:ilvl w:val="0"/>
          <w:numId w:val="14"/>
        </w:numPr>
      </w:pPr>
      <w:r w:rsidRPr="00A836B9">
        <w:t>Research and innovation action: 100%</w:t>
      </w:r>
    </w:p>
    <w:p w14:paraId="53C58FA8" w14:textId="77777777" w:rsidR="00C60BD6" w:rsidRPr="00A836B9" w:rsidRDefault="00C60BD6" w:rsidP="00C60BD6">
      <w:pPr>
        <w:numPr>
          <w:ilvl w:val="0"/>
          <w:numId w:val="14"/>
        </w:numPr>
      </w:pPr>
      <w:r w:rsidRPr="00A836B9">
        <w:t>Innovation action: 70% (except for non-profit legal entities, where a rate of up to 100% applies)</w:t>
      </w:r>
    </w:p>
    <w:p w14:paraId="5D24F00E" w14:textId="77777777" w:rsidR="00C60BD6" w:rsidRPr="00A836B9" w:rsidRDefault="00C60BD6" w:rsidP="00C60BD6">
      <w:pPr>
        <w:numPr>
          <w:ilvl w:val="0"/>
          <w:numId w:val="14"/>
        </w:numPr>
      </w:pPr>
      <w:r w:rsidRPr="00A836B9">
        <w:t>Coordination and support action: 100%</w:t>
      </w:r>
    </w:p>
    <w:p w14:paraId="6D1A229F" w14:textId="77777777" w:rsidR="00C60BD6" w:rsidRPr="00A836B9" w:rsidRDefault="00C60BD6" w:rsidP="00C60BD6">
      <w:pPr>
        <w:numPr>
          <w:ilvl w:val="0"/>
          <w:numId w:val="14"/>
        </w:numPr>
      </w:pPr>
      <w:r w:rsidRPr="00A836B9">
        <w:t>Programme co-fund action: between 30% and 70%</w:t>
      </w:r>
    </w:p>
    <w:p w14:paraId="1EAF304A" w14:textId="77777777" w:rsidR="00C60BD6" w:rsidRPr="00A836B9" w:rsidRDefault="00C60BD6" w:rsidP="00C60BD6">
      <w:pPr>
        <w:numPr>
          <w:ilvl w:val="0"/>
          <w:numId w:val="14"/>
        </w:numPr>
      </w:pPr>
      <w:r w:rsidRPr="00A836B9">
        <w:t>Innovation and market deployment: 70% (except for non-profit legal entities, where a rate of up to 100% applies)</w:t>
      </w:r>
    </w:p>
    <w:p w14:paraId="41DC4A8B" w14:textId="77777777" w:rsidR="00C60BD6" w:rsidRPr="00A836B9" w:rsidRDefault="00C60BD6" w:rsidP="00C60BD6">
      <w:pPr>
        <w:numPr>
          <w:ilvl w:val="0"/>
          <w:numId w:val="14"/>
        </w:numPr>
      </w:pPr>
      <w:r w:rsidRPr="00A836B9">
        <w:t>Training and mobility action: 100%</w:t>
      </w:r>
    </w:p>
    <w:p w14:paraId="3B249129" w14:textId="77777777" w:rsidR="00C60BD6" w:rsidRPr="00A836B9" w:rsidRDefault="00C60BD6" w:rsidP="00C60BD6">
      <w:pPr>
        <w:numPr>
          <w:ilvl w:val="0"/>
          <w:numId w:val="14"/>
        </w:numPr>
      </w:pPr>
      <w:r w:rsidRPr="00A836B9">
        <w:t>Pre-commercial procurement action: 100%</w:t>
      </w:r>
    </w:p>
    <w:p w14:paraId="04E1A37F" w14:textId="77777777" w:rsidR="00C60BD6" w:rsidRPr="00A836B9" w:rsidRDefault="00C60BD6" w:rsidP="00C60BD6">
      <w:pPr>
        <w:numPr>
          <w:ilvl w:val="0"/>
          <w:numId w:val="14"/>
        </w:numPr>
      </w:pPr>
      <w:r w:rsidRPr="00A836B9">
        <w:t>Public procurement of innovative solutions action: 50%</w:t>
      </w:r>
    </w:p>
    <w:p w14:paraId="5F49EB31" w14:textId="77777777" w:rsidR="00C60BD6" w:rsidRPr="00A836B9" w:rsidRDefault="00C60BD6" w:rsidP="00C60BD6">
      <w:r w:rsidRPr="00A836B9">
        <w:t>Other funding rates may be set out in the specific call conditions.</w:t>
      </w:r>
    </w:p>
    <w:p w14:paraId="31D0AF83" w14:textId="36CB176D" w:rsidR="00C60BD6" w:rsidRPr="00A836B9" w:rsidRDefault="00C60BD6" w:rsidP="00C60BD6">
      <w:r w:rsidRPr="00A836B9">
        <w:t xml:space="preserve">For </w:t>
      </w:r>
      <w:r w:rsidRPr="00A836B9">
        <w:rPr>
          <w:b/>
          <w:bCs/>
        </w:rPr>
        <w:t>lump sum and unit grants</w:t>
      </w:r>
      <w:r w:rsidRPr="00A836B9">
        <w:t xml:space="preserve">, the funding rate is already applied as part of the methodology for fixing the amounts and </w:t>
      </w:r>
      <w:r w:rsidR="008431FC" w:rsidRPr="00A836B9">
        <w:t xml:space="preserve">is </w:t>
      </w:r>
      <w:r w:rsidRPr="00A836B9">
        <w:t xml:space="preserve">therefore not shown in the grant agreement. </w:t>
      </w:r>
    </w:p>
    <w:p w14:paraId="2DE9FFF8" w14:textId="77777777" w:rsidR="00C60BD6" w:rsidRPr="00A836B9" w:rsidRDefault="00C60BD6" w:rsidP="490E705E">
      <w:pPr>
        <w:rPr>
          <w:b/>
          <w:bCs/>
          <w:i/>
          <w:iCs/>
          <w:u w:val="single"/>
        </w:rPr>
      </w:pPr>
      <w:r w:rsidRPr="00A836B9">
        <w:rPr>
          <w:b/>
          <w:bCs/>
          <w:i/>
          <w:iCs/>
          <w:u w:val="single"/>
        </w:rPr>
        <w:t>Budget categories and cost eligibility rules</w:t>
      </w:r>
    </w:p>
    <w:p w14:paraId="050D9C99" w14:textId="24E4E867" w:rsidR="00C60BD6" w:rsidRPr="00A836B9" w:rsidRDefault="00C60BD6" w:rsidP="490E705E">
      <w:pPr>
        <w:rPr>
          <w:i/>
          <w:iCs/>
        </w:rPr>
      </w:pPr>
      <w:r w:rsidRPr="00A836B9">
        <w:t xml:space="preserve">The budget categories and cost eligibility rules are fixed in the grant agreement </w:t>
      </w:r>
      <w:r w:rsidRPr="00A836B9">
        <w:rPr>
          <w:i/>
          <w:iCs/>
        </w:rPr>
        <w:t>(Data Sheet, point 3 and art</w:t>
      </w:r>
      <w:r w:rsidR="008431FC" w:rsidRPr="00A836B9">
        <w:rPr>
          <w:i/>
          <w:iCs/>
        </w:rPr>
        <w:t>icle</w:t>
      </w:r>
      <w:r w:rsidRPr="00A836B9">
        <w:rPr>
          <w:i/>
          <w:iCs/>
        </w:rPr>
        <w:t xml:space="preserve"> 6).</w:t>
      </w:r>
    </w:p>
    <w:p w14:paraId="763D4257" w14:textId="77777777" w:rsidR="00C60BD6" w:rsidRPr="00A836B9" w:rsidRDefault="00C60BD6" w:rsidP="00C60BD6">
      <w:r w:rsidRPr="00A836B9">
        <w:t>Budget categories:</w:t>
      </w:r>
    </w:p>
    <w:p w14:paraId="2726FC9E" w14:textId="77777777" w:rsidR="00C60BD6" w:rsidRPr="00A836B9" w:rsidRDefault="00C60BD6" w:rsidP="00C60BD6">
      <w:pPr>
        <w:numPr>
          <w:ilvl w:val="0"/>
          <w:numId w:val="15"/>
        </w:numPr>
      </w:pPr>
      <w:r w:rsidRPr="00A836B9">
        <w:t>actual costs (i.e. costs which are real and not estimated or budgeted) for:</w:t>
      </w:r>
    </w:p>
    <w:p w14:paraId="1DB5FA5D" w14:textId="2090B46A" w:rsidR="00C60BD6" w:rsidRPr="00A836B9" w:rsidRDefault="00C60BD6" w:rsidP="00C60BD6">
      <w:pPr>
        <w:numPr>
          <w:ilvl w:val="1"/>
          <w:numId w:val="16"/>
        </w:numPr>
      </w:pPr>
      <w:r w:rsidRPr="00A836B9">
        <w:t xml:space="preserve">personnel costs (unless declared as </w:t>
      </w:r>
      <w:r w:rsidR="008431FC" w:rsidRPr="00A836B9">
        <w:t xml:space="preserve">a </w:t>
      </w:r>
      <w:r w:rsidRPr="00A836B9">
        <w:t>unit cost; see below)</w:t>
      </w:r>
      <w:r w:rsidR="00FB030A" w:rsidRPr="00A836B9">
        <w:t>;</w:t>
      </w:r>
    </w:p>
    <w:p w14:paraId="695287C4" w14:textId="6A66072B" w:rsidR="00C60BD6" w:rsidRPr="00A836B9" w:rsidRDefault="00C60BD6" w:rsidP="00C60BD6">
      <w:pPr>
        <w:numPr>
          <w:ilvl w:val="1"/>
          <w:numId w:val="16"/>
        </w:numPr>
      </w:pPr>
      <w:r w:rsidRPr="00A836B9">
        <w:t>subcontracting costs</w:t>
      </w:r>
      <w:r w:rsidR="00FB030A" w:rsidRPr="00A836B9">
        <w:t>;</w:t>
      </w:r>
    </w:p>
    <w:p w14:paraId="1E2F5D12" w14:textId="672DF375" w:rsidR="00C60BD6" w:rsidRPr="00A836B9" w:rsidRDefault="00C60BD6" w:rsidP="00C60BD6">
      <w:pPr>
        <w:numPr>
          <w:ilvl w:val="1"/>
          <w:numId w:val="16"/>
        </w:numPr>
      </w:pPr>
      <w:r w:rsidRPr="00A836B9">
        <w:t xml:space="preserve">purchase costs (unless declared as </w:t>
      </w:r>
      <w:r w:rsidR="008431FC" w:rsidRPr="00A836B9">
        <w:t xml:space="preserve">a </w:t>
      </w:r>
      <w:r w:rsidRPr="00A836B9">
        <w:t>unit cost; see below)</w:t>
      </w:r>
      <w:r w:rsidR="00FB030A" w:rsidRPr="00A836B9">
        <w:t>;</w:t>
      </w:r>
      <w:r w:rsidRPr="00A836B9">
        <w:t xml:space="preserve"> and</w:t>
      </w:r>
    </w:p>
    <w:p w14:paraId="1A12407A" w14:textId="77777777" w:rsidR="00C60BD6" w:rsidRPr="00A836B9" w:rsidRDefault="00C60BD6" w:rsidP="00C60BD6">
      <w:pPr>
        <w:numPr>
          <w:ilvl w:val="1"/>
          <w:numId w:val="16"/>
        </w:numPr>
      </w:pPr>
      <w:r w:rsidRPr="00A836B9">
        <w:t>costs of providing financial support to third parties (if provided for in the specific call conditions);</w:t>
      </w:r>
    </w:p>
    <w:p w14:paraId="49403FFE" w14:textId="77777777" w:rsidR="00C60BD6" w:rsidRPr="00A836B9" w:rsidRDefault="00C60BD6" w:rsidP="00C60BD6">
      <w:pPr>
        <w:numPr>
          <w:ilvl w:val="0"/>
          <w:numId w:val="15"/>
        </w:numPr>
      </w:pPr>
      <w:r w:rsidRPr="00A836B9">
        <w:t>units (i.e. an amount per unit) for:</w:t>
      </w:r>
    </w:p>
    <w:p w14:paraId="40E3CB8A" w14:textId="68E1AC7D" w:rsidR="00C60BD6" w:rsidRPr="00A836B9" w:rsidRDefault="00C60BD6" w:rsidP="00C60BD6">
      <w:pPr>
        <w:numPr>
          <w:ilvl w:val="1"/>
          <w:numId w:val="17"/>
        </w:numPr>
      </w:pPr>
      <w:r w:rsidRPr="00A836B9">
        <w:t>personnel costs of SME owners/natural persons not receiving a salary</w:t>
      </w:r>
      <w:r w:rsidR="00FB030A" w:rsidRPr="00A836B9">
        <w:t>;</w:t>
      </w:r>
    </w:p>
    <w:p w14:paraId="7E0445EB" w14:textId="39154D31" w:rsidR="00C60BD6" w:rsidRPr="00A836B9" w:rsidRDefault="00C60BD6" w:rsidP="00C60BD6">
      <w:pPr>
        <w:numPr>
          <w:ilvl w:val="1"/>
          <w:numId w:val="17"/>
        </w:numPr>
      </w:pPr>
      <w:r w:rsidRPr="00A836B9">
        <w:t>personnel costs calculated by the beneficiaries accord</w:t>
      </w:r>
      <w:r w:rsidR="00FB030A" w:rsidRPr="00A836B9">
        <w:t>ing</w:t>
      </w:r>
      <w:r w:rsidRPr="00A836B9">
        <w:t xml:space="preserve"> </w:t>
      </w:r>
      <w:r w:rsidR="00FB030A" w:rsidRPr="00A836B9">
        <w:t>to</w:t>
      </w:r>
      <w:r w:rsidRPr="00A836B9">
        <w:t xml:space="preserve"> their usual cost accounting practices (average personnel costs)</w:t>
      </w:r>
      <w:r w:rsidR="00FB030A" w:rsidRPr="00A836B9">
        <w:t>;</w:t>
      </w:r>
    </w:p>
    <w:p w14:paraId="04FB51F2" w14:textId="623C42D4" w:rsidR="00C60BD6" w:rsidRPr="00A836B9" w:rsidRDefault="00C60BD6" w:rsidP="00C60BD6">
      <w:pPr>
        <w:numPr>
          <w:ilvl w:val="1"/>
          <w:numId w:val="17"/>
        </w:numPr>
      </w:pPr>
      <w:r w:rsidRPr="00A836B9">
        <w:t>costs of internally invoiced goods and services calculated by the beneficiaries accord</w:t>
      </w:r>
      <w:r w:rsidR="00FB030A" w:rsidRPr="00A836B9">
        <w:t>ing</w:t>
      </w:r>
      <w:r w:rsidRPr="00A836B9">
        <w:t xml:space="preserve"> </w:t>
      </w:r>
      <w:r w:rsidR="00FB030A" w:rsidRPr="00A836B9">
        <w:t>to</w:t>
      </w:r>
      <w:r w:rsidRPr="00A836B9">
        <w:t xml:space="preserve"> their usual cost accounting practices</w:t>
      </w:r>
      <w:r w:rsidR="00FB030A" w:rsidRPr="00A836B9">
        <w:t>;</w:t>
      </w:r>
      <w:r w:rsidRPr="00A836B9">
        <w:t xml:space="preserve"> and</w:t>
      </w:r>
    </w:p>
    <w:p w14:paraId="388350E9" w14:textId="31B7CB35" w:rsidR="00C60BD6" w:rsidRPr="00A836B9" w:rsidRDefault="00C60BD6" w:rsidP="00C60BD6">
      <w:pPr>
        <w:numPr>
          <w:ilvl w:val="1"/>
          <w:numId w:val="17"/>
        </w:numPr>
      </w:pPr>
      <w:r w:rsidRPr="00A836B9">
        <w:t xml:space="preserve">specific unit costs (if provided </w:t>
      </w:r>
      <w:r w:rsidR="00CC03E1" w:rsidRPr="00A836B9">
        <w:t xml:space="preserve">for </w:t>
      </w:r>
      <w:r w:rsidRPr="00A836B9">
        <w:t xml:space="preserve">in the specific call conditions; see also </w:t>
      </w:r>
      <w:r w:rsidR="00C40DC9" w:rsidRPr="00A836B9">
        <w:t>Annex</w:t>
      </w:r>
      <w:r w:rsidRPr="00A836B9">
        <w:t xml:space="preserve"> 2a of the grant agreement);</w:t>
      </w:r>
    </w:p>
    <w:p w14:paraId="20C3C3A0" w14:textId="77777777" w:rsidR="00C60BD6" w:rsidRPr="00A836B9" w:rsidRDefault="00C60BD6" w:rsidP="00C60BD6">
      <w:pPr>
        <w:numPr>
          <w:ilvl w:val="0"/>
          <w:numId w:val="15"/>
        </w:numPr>
      </w:pPr>
      <w:r w:rsidRPr="00A836B9">
        <w:t>flat-rate (i.e. costs calculated by applying a percentage fixed in advance to other types of eligible costs) for:</w:t>
      </w:r>
    </w:p>
    <w:p w14:paraId="1134A7D2" w14:textId="3CDCB9C0" w:rsidR="00C60BD6" w:rsidRPr="00A836B9" w:rsidRDefault="00C60BD6" w:rsidP="00C60BD6">
      <w:pPr>
        <w:numPr>
          <w:ilvl w:val="1"/>
          <w:numId w:val="15"/>
        </w:numPr>
      </w:pPr>
      <w:r w:rsidRPr="00A836B9">
        <w:t>indirect costs (25% flat-rate of the total eligible direct costs, excluding eligible direct costs for subcontracting, financial support to third parties and any unit costs or lump sums which include indirect costs)</w:t>
      </w:r>
      <w:r w:rsidR="008431FC" w:rsidRPr="00A836B9">
        <w:t>;</w:t>
      </w:r>
    </w:p>
    <w:p w14:paraId="2C16DCD6" w14:textId="7ACEC274" w:rsidR="00C60BD6" w:rsidRPr="00A836B9" w:rsidRDefault="00C60BD6" w:rsidP="00C60BD6">
      <w:pPr>
        <w:numPr>
          <w:ilvl w:val="0"/>
          <w:numId w:val="15"/>
        </w:numPr>
      </w:pPr>
      <w:r w:rsidRPr="00A836B9">
        <w:t>lump sum (i.e. a global amount deemed to cover all costs of the action or a specific category of costs</w:t>
      </w:r>
      <w:r w:rsidR="00FB030A" w:rsidRPr="00A836B9">
        <w:t>,</w:t>
      </w:r>
      <w:r w:rsidRPr="00A836B9">
        <w:t xml:space="preserve"> if provided </w:t>
      </w:r>
      <w:r w:rsidR="00FB030A" w:rsidRPr="00A836B9">
        <w:t xml:space="preserve">for </w:t>
      </w:r>
      <w:r w:rsidRPr="00A836B9">
        <w:t>in the specific call conditions).</w:t>
      </w:r>
    </w:p>
    <w:p w14:paraId="0422C467" w14:textId="77777777" w:rsidR="00C60BD6" w:rsidRPr="00A836B9" w:rsidRDefault="00C60BD6" w:rsidP="00C60BD6">
      <w:r w:rsidRPr="00A836B9">
        <w:t>Within a grant, different forms of costs can be used.</w:t>
      </w:r>
    </w:p>
    <w:p w14:paraId="44D561E8" w14:textId="6906D5D2" w:rsidR="00C60BD6" w:rsidRPr="00A836B9" w:rsidRDefault="00C60BD6" w:rsidP="00C60BD6">
      <w:r w:rsidRPr="00A836B9">
        <w:t xml:space="preserve">Costs can also be declared under several EU Synergy grants, if provided for in the specific call conditions and the funding under the grants does not </w:t>
      </w:r>
      <w:r w:rsidR="008431FC" w:rsidRPr="00A836B9">
        <w:t>exceed</w:t>
      </w:r>
      <w:r w:rsidRPr="00A836B9">
        <w:t xml:space="preserve"> 100% of the costs and contributions declared to them.</w:t>
      </w:r>
    </w:p>
    <w:p w14:paraId="4919EDDA" w14:textId="77777777" w:rsidR="00C60BD6" w:rsidRPr="00A836B9" w:rsidRDefault="00C60BD6" w:rsidP="490E705E">
      <w:pPr>
        <w:rPr>
          <w:b/>
          <w:bCs/>
          <w:i/>
          <w:iCs/>
          <w:u w:val="single"/>
        </w:rPr>
      </w:pPr>
      <w:r w:rsidRPr="00A836B9">
        <w:rPr>
          <w:b/>
          <w:bCs/>
          <w:i/>
          <w:iCs/>
          <w:u w:val="single"/>
        </w:rPr>
        <w:t xml:space="preserve">Reporting &amp; payment arrangements </w:t>
      </w:r>
    </w:p>
    <w:p w14:paraId="02C6A59B" w14:textId="33FBF2A4" w:rsidR="00C60BD6" w:rsidRPr="00A836B9" w:rsidRDefault="00C60BD6" w:rsidP="00C60BD6">
      <w:r w:rsidRPr="00A836B9">
        <w:t xml:space="preserve">The reporting and payment arrangements are fixed in the grant agreement </w:t>
      </w:r>
      <w:r w:rsidRPr="00A836B9">
        <w:rPr>
          <w:i/>
          <w:iCs/>
        </w:rPr>
        <w:t>(Data Sheet, point 4 and art</w:t>
      </w:r>
      <w:r w:rsidR="008431FC" w:rsidRPr="00A836B9">
        <w:rPr>
          <w:i/>
          <w:iCs/>
        </w:rPr>
        <w:t>icles</w:t>
      </w:r>
      <w:r w:rsidRPr="00A836B9">
        <w:rPr>
          <w:i/>
          <w:iCs/>
        </w:rPr>
        <w:t xml:space="preserve"> 21 and 22)</w:t>
      </w:r>
      <w:r w:rsidRPr="00A836B9">
        <w:t>.</w:t>
      </w:r>
    </w:p>
    <w:p w14:paraId="19CBE3E2" w14:textId="47E88B9D" w:rsidR="00C60BD6" w:rsidRPr="00A836B9" w:rsidRDefault="00C60BD6" w:rsidP="00C60BD6">
      <w:r w:rsidRPr="00A836B9">
        <w:t xml:space="preserve">After </w:t>
      </w:r>
      <w:r w:rsidR="008D6D3A" w:rsidRPr="00A836B9">
        <w:t xml:space="preserve">the </w:t>
      </w:r>
      <w:r w:rsidRPr="00A836B9">
        <w:t xml:space="preserve">grant </w:t>
      </w:r>
      <w:r w:rsidR="008D6D3A" w:rsidRPr="00A836B9">
        <w:t xml:space="preserve">has been </w:t>
      </w:r>
      <w:r w:rsidRPr="00A836B9">
        <w:t>sign</w:t>
      </w:r>
      <w:r w:rsidR="008D6D3A" w:rsidRPr="00A836B9">
        <w:t>ed</w:t>
      </w:r>
      <w:r w:rsidRPr="00A836B9">
        <w:t>, the consortium will normally receive a float to start working on the project (</w:t>
      </w:r>
      <w:r w:rsidR="008D6D3A" w:rsidRPr="00A836B9">
        <w:t xml:space="preserve">normally, </w:t>
      </w:r>
      <w:r w:rsidRPr="00A836B9">
        <w:t>prefinancing of 100% of the average EU funding per reporting period (i.e. maximum grant amount/number of periods); exceptionally</w:t>
      </w:r>
      <w:r w:rsidR="008431FC" w:rsidRPr="00A836B9">
        <w:t>,</w:t>
      </w:r>
      <w:r w:rsidRPr="00A836B9">
        <w:t xml:space="preserve"> less or no prefinancing). For actions with only one reporting period, it will be less, since 100% would mean the totality of the grant amount.</w:t>
      </w:r>
    </w:p>
    <w:p w14:paraId="3DF20DE6" w14:textId="2285F015" w:rsidR="00C60BD6" w:rsidRPr="00A836B9" w:rsidRDefault="00C60BD6" w:rsidP="00C60BD6">
      <w:r w:rsidRPr="00A836B9">
        <w:t xml:space="preserve">At the moment of the prefinancing payment, an amount ranging from 5% to 8% of the maximum grant amount will be deducted from the prefinancing payment and transferred to the </w:t>
      </w:r>
      <w:r w:rsidR="008D6D3A" w:rsidRPr="00A836B9">
        <w:t>m</w:t>
      </w:r>
      <w:r w:rsidRPr="00A836B9">
        <w:t xml:space="preserve">utual </w:t>
      </w:r>
      <w:r w:rsidR="008D6D3A" w:rsidRPr="00A836B9">
        <w:t>i</w:t>
      </w:r>
      <w:r w:rsidRPr="00A836B9">
        <w:t xml:space="preserve">nsurance </w:t>
      </w:r>
      <w:r w:rsidR="008D6D3A" w:rsidRPr="00A836B9">
        <w:t>m</w:t>
      </w:r>
      <w:r w:rsidRPr="00A836B9">
        <w:t xml:space="preserve">echanism. This mechanism covers the risks associated with non-recovery of sums due </w:t>
      </w:r>
      <w:r w:rsidR="008D6D3A" w:rsidRPr="00A836B9">
        <w:t>from</w:t>
      </w:r>
      <w:r w:rsidRPr="00A836B9">
        <w:t xml:space="preserve"> the beneficiaries.</w:t>
      </w:r>
    </w:p>
    <w:p w14:paraId="0A0C1543" w14:textId="77777777" w:rsidR="00C60BD6" w:rsidRPr="00A836B9" w:rsidRDefault="00C60BD6" w:rsidP="00C60BD6">
      <w:r w:rsidRPr="00A836B9">
        <w:t>There will be one or several interim payments linked to a periodic report, depending on the duration of the project.</w:t>
      </w:r>
    </w:p>
    <w:p w14:paraId="0C98639D" w14:textId="77777777" w:rsidR="00C60BD6" w:rsidRPr="00A836B9" w:rsidRDefault="00C60BD6" w:rsidP="00C60BD6">
      <w:r w:rsidRPr="00A836B9">
        <w:t>At the end of the project, the consortium will be invited to submit a report on the basis of which the final grant amount will be calculated. If the total of earlier payments is higher than the final grant amount, the beneficiaries concerned (or the coordinator) will be asked to pay back the difference (recovery).</w:t>
      </w:r>
    </w:p>
    <w:p w14:paraId="4D324152" w14:textId="77777777" w:rsidR="00C60BD6" w:rsidRPr="00A836B9" w:rsidRDefault="00C60BD6" w:rsidP="490E705E">
      <w:pPr>
        <w:rPr>
          <w:b/>
          <w:bCs/>
          <w:i/>
          <w:iCs/>
          <w:u w:val="single"/>
        </w:rPr>
      </w:pPr>
      <w:r w:rsidRPr="00A836B9">
        <w:rPr>
          <w:b/>
          <w:bCs/>
          <w:i/>
          <w:iCs/>
          <w:u w:val="single"/>
        </w:rPr>
        <w:t>Certificates</w:t>
      </w:r>
    </w:p>
    <w:p w14:paraId="1C00C4FA" w14:textId="440EFE40" w:rsidR="00C60BD6" w:rsidRPr="00A836B9" w:rsidRDefault="00C60BD6" w:rsidP="00C60BD6">
      <w:pPr>
        <w:spacing w:after="120"/>
      </w:pPr>
      <w:r w:rsidRPr="00A836B9">
        <w:t xml:space="preserve">Depending on the size of the grant amount and on the type of beneficiaries, beneficiaries may be required to submit a certificate on the financial statements. The thresholds for this certificate are fixed in the grant agreement </w:t>
      </w:r>
      <w:r w:rsidRPr="00A836B9">
        <w:rPr>
          <w:i/>
          <w:iCs/>
        </w:rPr>
        <w:t>(Data Sheet, point 4 and art</w:t>
      </w:r>
      <w:r w:rsidR="008431FC" w:rsidRPr="00A836B9">
        <w:rPr>
          <w:i/>
          <w:iCs/>
        </w:rPr>
        <w:t>icle</w:t>
      </w:r>
      <w:r w:rsidRPr="00A836B9">
        <w:rPr>
          <w:i/>
          <w:iCs/>
        </w:rPr>
        <w:t xml:space="preserve"> 24)</w:t>
      </w:r>
      <w:r w:rsidRPr="00A836B9">
        <w:t>.</w:t>
      </w:r>
    </w:p>
    <w:p w14:paraId="64916AA8" w14:textId="77777777" w:rsidR="00C60BD6" w:rsidRPr="00A836B9" w:rsidRDefault="00C60BD6" w:rsidP="490E705E">
      <w:pPr>
        <w:rPr>
          <w:b/>
          <w:bCs/>
          <w:i/>
          <w:iCs/>
          <w:u w:val="single"/>
        </w:rPr>
      </w:pPr>
      <w:r w:rsidRPr="00A836B9">
        <w:rPr>
          <w:b/>
          <w:bCs/>
          <w:i/>
          <w:iCs/>
          <w:u w:val="single"/>
        </w:rPr>
        <w:t>Liability regime for recoveries</w:t>
      </w:r>
    </w:p>
    <w:p w14:paraId="39B5A5F1" w14:textId="5C2D8B42" w:rsidR="00C60BD6" w:rsidRPr="00A836B9" w:rsidRDefault="00C60BD6" w:rsidP="490E705E">
      <w:pPr>
        <w:rPr>
          <w:bCs/>
        </w:rPr>
      </w:pPr>
      <w:r w:rsidRPr="00A836B9">
        <w:t xml:space="preserve">The liability regime for recoveries is </w:t>
      </w:r>
      <w:r w:rsidR="008431FC" w:rsidRPr="00A836B9">
        <w:t xml:space="preserve">that of </w:t>
      </w:r>
      <w:r w:rsidRPr="00A836B9">
        <w:t>individual financial responsibility</w:t>
      </w:r>
      <w:r w:rsidR="008431FC" w:rsidRPr="00A836B9">
        <w:t>. E</w:t>
      </w:r>
      <w:r w:rsidRPr="00A836B9">
        <w:t xml:space="preserve">ach beneficiary </w:t>
      </w:r>
      <w:r w:rsidR="008431FC" w:rsidRPr="00A836B9">
        <w:t xml:space="preserve">is liable </w:t>
      </w:r>
      <w:r w:rsidRPr="00A836B9">
        <w:t xml:space="preserve">only for </w:t>
      </w:r>
      <w:r w:rsidR="008431FC" w:rsidRPr="00A836B9">
        <w:t>their own</w:t>
      </w:r>
      <w:r w:rsidRPr="00A836B9">
        <w:t xml:space="preserve"> debt (and those of its affiliated entities, if any)</w:t>
      </w:r>
      <w:r w:rsidRPr="00A836B9">
        <w:rPr>
          <w:i/>
          <w:iCs/>
        </w:rPr>
        <w:t xml:space="preserve"> (Data Sheet point 4.4 and art</w:t>
      </w:r>
      <w:r w:rsidR="008431FC" w:rsidRPr="00A836B9">
        <w:rPr>
          <w:i/>
          <w:iCs/>
        </w:rPr>
        <w:t>icle</w:t>
      </w:r>
      <w:r w:rsidRPr="00A836B9">
        <w:rPr>
          <w:i/>
          <w:iCs/>
        </w:rPr>
        <w:t xml:space="preserve"> 22)</w:t>
      </w:r>
      <w:r w:rsidRPr="00A836B9">
        <w:t xml:space="preserve">. </w:t>
      </w:r>
    </w:p>
    <w:p w14:paraId="08ABF282" w14:textId="5A444163" w:rsidR="00C60BD6" w:rsidRPr="00A836B9" w:rsidRDefault="00C60BD6" w:rsidP="490E705E">
      <w:pPr>
        <w:rPr>
          <w:b/>
          <w:bCs/>
          <w:i/>
          <w:iCs/>
          <w:u w:val="single"/>
        </w:rPr>
      </w:pPr>
      <w:r w:rsidRPr="00A836B9">
        <w:rPr>
          <w:b/>
          <w:bCs/>
          <w:i/>
          <w:iCs/>
          <w:u w:val="single"/>
        </w:rPr>
        <w:t>Provisions concerning project implementation</w:t>
      </w:r>
    </w:p>
    <w:p w14:paraId="4783248A" w14:textId="5F388AE8" w:rsidR="00C60BD6" w:rsidRPr="00A836B9" w:rsidRDefault="00C60BD6" w:rsidP="490E705E">
      <w:pPr>
        <w:numPr>
          <w:ilvl w:val="0"/>
          <w:numId w:val="19"/>
        </w:numPr>
      </w:pPr>
      <w:r w:rsidRPr="00A836B9">
        <w:t xml:space="preserve">Proper implementation of the action </w:t>
      </w:r>
      <w:r w:rsidRPr="00A836B9">
        <w:rPr>
          <w:i/>
          <w:iCs/>
        </w:rPr>
        <w:t>(art</w:t>
      </w:r>
      <w:r w:rsidR="008431FC" w:rsidRPr="00A836B9">
        <w:rPr>
          <w:i/>
          <w:iCs/>
        </w:rPr>
        <w:t>icle</w:t>
      </w:r>
      <w:r w:rsidRPr="00A836B9">
        <w:rPr>
          <w:i/>
          <w:iCs/>
        </w:rPr>
        <w:t xml:space="preserve"> 11)</w:t>
      </w:r>
      <w:r w:rsidR="00CD51A9" w:rsidRPr="00A836B9">
        <w:rPr>
          <w:iCs/>
        </w:rPr>
        <w:t>.</w:t>
      </w:r>
    </w:p>
    <w:p w14:paraId="0D1DAEA2" w14:textId="1A31B262" w:rsidR="00C60BD6" w:rsidRPr="00A836B9" w:rsidRDefault="00C60BD6" w:rsidP="490E705E">
      <w:pPr>
        <w:numPr>
          <w:ilvl w:val="0"/>
          <w:numId w:val="19"/>
        </w:numPr>
      </w:pPr>
      <w:r w:rsidRPr="00A836B9">
        <w:t xml:space="preserve">Conflict of interest </w:t>
      </w:r>
      <w:r w:rsidRPr="00A836B9">
        <w:rPr>
          <w:i/>
          <w:iCs/>
        </w:rPr>
        <w:t>(art</w:t>
      </w:r>
      <w:r w:rsidR="008431FC" w:rsidRPr="00A836B9">
        <w:rPr>
          <w:i/>
          <w:iCs/>
        </w:rPr>
        <w:t>icle</w:t>
      </w:r>
      <w:r w:rsidRPr="00A836B9">
        <w:rPr>
          <w:i/>
          <w:iCs/>
        </w:rPr>
        <w:t xml:space="preserve"> 12)</w:t>
      </w:r>
      <w:r w:rsidR="00CD51A9" w:rsidRPr="00A836B9">
        <w:rPr>
          <w:iCs/>
        </w:rPr>
        <w:t>.</w:t>
      </w:r>
    </w:p>
    <w:p w14:paraId="46C130ED" w14:textId="078D47B6" w:rsidR="00C60BD6" w:rsidRPr="00A836B9" w:rsidRDefault="00C60BD6" w:rsidP="490E705E">
      <w:pPr>
        <w:numPr>
          <w:ilvl w:val="0"/>
          <w:numId w:val="19"/>
        </w:numPr>
      </w:pPr>
      <w:r w:rsidRPr="00A836B9">
        <w:t>Confidentiality and security (EU</w:t>
      </w:r>
      <w:r w:rsidR="008D6D3A" w:rsidRPr="00A836B9">
        <w:t>-</w:t>
      </w:r>
      <w:r w:rsidRPr="00A836B9">
        <w:t xml:space="preserve">classified information) </w:t>
      </w:r>
      <w:r w:rsidRPr="00A836B9">
        <w:rPr>
          <w:i/>
          <w:iCs/>
        </w:rPr>
        <w:t>(art</w:t>
      </w:r>
      <w:r w:rsidR="008431FC" w:rsidRPr="00A836B9">
        <w:rPr>
          <w:i/>
          <w:iCs/>
        </w:rPr>
        <w:t>icle</w:t>
      </w:r>
      <w:r w:rsidRPr="00A836B9">
        <w:rPr>
          <w:i/>
          <w:iCs/>
        </w:rPr>
        <w:t xml:space="preserve"> 13 and </w:t>
      </w:r>
      <w:r w:rsidR="00C40DC9" w:rsidRPr="00A836B9">
        <w:rPr>
          <w:i/>
          <w:iCs/>
        </w:rPr>
        <w:t>Annex</w:t>
      </w:r>
      <w:r w:rsidRPr="00A836B9">
        <w:rPr>
          <w:i/>
          <w:iCs/>
        </w:rPr>
        <w:t xml:space="preserve"> 5)</w:t>
      </w:r>
      <w:r w:rsidR="00CD51A9" w:rsidRPr="00A836B9">
        <w:rPr>
          <w:iCs/>
        </w:rPr>
        <w:t>.</w:t>
      </w:r>
    </w:p>
    <w:p w14:paraId="7C7ED726" w14:textId="23E7A90B" w:rsidR="00C60BD6" w:rsidRPr="00A836B9" w:rsidRDefault="00C60BD6" w:rsidP="490E705E">
      <w:pPr>
        <w:numPr>
          <w:ilvl w:val="0"/>
          <w:numId w:val="19"/>
        </w:numPr>
        <w:rPr>
          <w:i/>
          <w:iCs/>
        </w:rPr>
      </w:pPr>
      <w:r w:rsidRPr="00A836B9">
        <w:t xml:space="preserve">Ethics (research integrity) and values (gender mainstreaming) </w:t>
      </w:r>
      <w:r w:rsidRPr="00A836B9">
        <w:rPr>
          <w:i/>
          <w:iCs/>
        </w:rPr>
        <w:t>(art</w:t>
      </w:r>
      <w:r w:rsidR="008431FC" w:rsidRPr="00A836B9">
        <w:rPr>
          <w:i/>
          <w:iCs/>
        </w:rPr>
        <w:t>icle</w:t>
      </w:r>
      <w:r w:rsidRPr="00A836B9">
        <w:rPr>
          <w:i/>
          <w:iCs/>
        </w:rPr>
        <w:t xml:space="preserve"> 14 and </w:t>
      </w:r>
      <w:r w:rsidR="00C40DC9" w:rsidRPr="00A836B9">
        <w:rPr>
          <w:i/>
          <w:iCs/>
        </w:rPr>
        <w:t>Annex</w:t>
      </w:r>
      <w:r w:rsidRPr="00A836B9">
        <w:rPr>
          <w:i/>
          <w:iCs/>
        </w:rPr>
        <w:t xml:space="preserve"> 5)</w:t>
      </w:r>
      <w:r w:rsidR="00CD51A9" w:rsidRPr="00A836B9">
        <w:rPr>
          <w:iCs/>
        </w:rPr>
        <w:t>.</w:t>
      </w:r>
    </w:p>
    <w:p w14:paraId="2910D1F4" w14:textId="248E0B47" w:rsidR="00C60BD6" w:rsidRPr="00A836B9" w:rsidRDefault="00C60BD6" w:rsidP="490E705E">
      <w:pPr>
        <w:numPr>
          <w:ilvl w:val="0"/>
          <w:numId w:val="19"/>
        </w:numPr>
      </w:pPr>
      <w:r w:rsidRPr="00A836B9">
        <w:t xml:space="preserve">Data protection </w:t>
      </w:r>
      <w:r w:rsidRPr="00A836B9">
        <w:rPr>
          <w:i/>
          <w:iCs/>
        </w:rPr>
        <w:t>(art</w:t>
      </w:r>
      <w:r w:rsidR="008431FC" w:rsidRPr="00A836B9">
        <w:rPr>
          <w:i/>
          <w:iCs/>
        </w:rPr>
        <w:t>icle</w:t>
      </w:r>
      <w:r w:rsidRPr="00A836B9">
        <w:rPr>
          <w:i/>
          <w:iCs/>
        </w:rPr>
        <w:t xml:space="preserve"> 15)</w:t>
      </w:r>
      <w:r w:rsidR="00CD51A9" w:rsidRPr="00A836B9">
        <w:rPr>
          <w:iCs/>
        </w:rPr>
        <w:t>.</w:t>
      </w:r>
    </w:p>
    <w:p w14:paraId="3B7475B0" w14:textId="5204D54D" w:rsidR="000B079C" w:rsidRPr="00A836B9" w:rsidRDefault="00C60BD6" w:rsidP="008431FC">
      <w:pPr>
        <w:numPr>
          <w:ilvl w:val="0"/>
          <w:numId w:val="19"/>
        </w:numPr>
        <w:rPr>
          <w:bCs/>
        </w:rPr>
      </w:pPr>
      <w:r w:rsidRPr="00A836B9">
        <w:t>Intellectual Property Rights</w:t>
      </w:r>
      <w:r w:rsidR="008617ED" w:rsidRPr="00A836B9">
        <w:t xml:space="preserve"> (IPR), background and results, access rights and rights of use</w:t>
      </w:r>
      <w:r w:rsidRPr="00A836B9">
        <w:t xml:space="preserve"> </w:t>
      </w:r>
      <w:r w:rsidRPr="00A836B9">
        <w:rPr>
          <w:i/>
          <w:iCs/>
        </w:rPr>
        <w:t>(art</w:t>
      </w:r>
      <w:r w:rsidR="008431FC" w:rsidRPr="00A836B9">
        <w:rPr>
          <w:i/>
          <w:iCs/>
        </w:rPr>
        <w:t>icle</w:t>
      </w:r>
      <w:r w:rsidRPr="00A836B9">
        <w:rPr>
          <w:i/>
          <w:iCs/>
        </w:rPr>
        <w:t xml:space="preserve"> 16 and </w:t>
      </w:r>
      <w:r w:rsidR="00C40DC9" w:rsidRPr="00A836B9">
        <w:rPr>
          <w:i/>
          <w:iCs/>
        </w:rPr>
        <w:t>Annex</w:t>
      </w:r>
      <w:r w:rsidRPr="00A836B9">
        <w:rPr>
          <w:i/>
          <w:iCs/>
        </w:rPr>
        <w:t xml:space="preserve"> 5)</w:t>
      </w:r>
      <w:r w:rsidR="008431FC" w:rsidRPr="00A836B9">
        <w:rPr>
          <w:i/>
          <w:iCs/>
        </w:rPr>
        <w:t>.</w:t>
      </w:r>
      <w:r w:rsidR="008431FC" w:rsidRPr="00A836B9">
        <w:t xml:space="preserve"> </w:t>
      </w:r>
      <w:r w:rsidR="000B079C" w:rsidRPr="00A836B9">
        <w:t xml:space="preserve">In addition to the standard provisions, the following specific provisions in the model grant agreement will apply to all </w:t>
      </w:r>
      <w:r w:rsidR="006F443C" w:rsidRPr="00A836B9">
        <w:t>grants awarded</w:t>
      </w:r>
      <w:r w:rsidR="000B079C" w:rsidRPr="00A836B9">
        <w:t xml:space="preserve"> under this work programme:</w:t>
      </w:r>
    </w:p>
    <w:p w14:paraId="68082A19" w14:textId="5A3A47FE" w:rsidR="00C60BD6" w:rsidRPr="00A836B9" w:rsidRDefault="008D6D3A" w:rsidP="009847FF">
      <w:pPr>
        <w:ind w:left="1440"/>
      </w:pPr>
      <w:r w:rsidRPr="00A836B9">
        <w:t>I</w:t>
      </w:r>
      <w:r w:rsidR="00C60BD6" w:rsidRPr="00A836B9">
        <w:t xml:space="preserve">f requested by the granting authority, </w:t>
      </w:r>
      <w:r w:rsidRPr="00A836B9">
        <w:t xml:space="preserve">beneficiaries must </w:t>
      </w:r>
      <w:r w:rsidR="00C60BD6" w:rsidRPr="00A836B9">
        <w:t xml:space="preserve">grant </w:t>
      </w:r>
      <w:r w:rsidRPr="00A836B9">
        <w:t>non-exclusive licences to their results</w:t>
      </w:r>
      <w:r w:rsidR="009847FF" w:rsidRPr="00A836B9">
        <w:t xml:space="preserve"> –</w:t>
      </w:r>
      <w:r w:rsidRPr="00A836B9">
        <w:t xml:space="preserve"> </w:t>
      </w:r>
      <w:r w:rsidR="00C60BD6" w:rsidRPr="00A836B9">
        <w:t>for a limited period of time specified in the request</w:t>
      </w:r>
      <w:r w:rsidRPr="00A836B9">
        <w:t xml:space="preserve"> and</w:t>
      </w:r>
      <w:r w:rsidR="00C60BD6" w:rsidRPr="00A836B9">
        <w:t xml:space="preserve"> on fair and reasonable conditions</w:t>
      </w:r>
      <w:r w:rsidR="009847FF" w:rsidRPr="00A836B9">
        <w:t xml:space="preserve"> –</w:t>
      </w:r>
      <w:r w:rsidR="00C60BD6" w:rsidRPr="00A836B9">
        <w:t xml:space="preserve"> to legal entities that need the results to address the public emergency</w:t>
      </w:r>
      <w:r w:rsidR="009847FF" w:rsidRPr="00A836B9">
        <w:t>. These legal entities must</w:t>
      </w:r>
      <w:r w:rsidR="00C60BD6" w:rsidRPr="00A836B9">
        <w:t xml:space="preserve"> commit to rapidly and broadly exploit</w:t>
      </w:r>
      <w:r w:rsidR="009847FF" w:rsidRPr="00A836B9">
        <w:t>ing</w:t>
      </w:r>
      <w:r w:rsidR="00C60BD6" w:rsidRPr="00A836B9">
        <w:t xml:space="preserve"> the resulting products and services </w:t>
      </w:r>
      <w:r w:rsidR="008431FC" w:rsidRPr="00A836B9">
        <w:t>on</w:t>
      </w:r>
      <w:r w:rsidR="00C60BD6" w:rsidRPr="00A836B9">
        <w:t xml:space="preserve"> fair and reasonable conditions. This provision will apply up to </w:t>
      </w:r>
      <w:r w:rsidR="008431FC" w:rsidRPr="00A836B9">
        <w:t>4</w:t>
      </w:r>
      <w:r w:rsidR="00C60BD6" w:rsidRPr="00A836B9">
        <w:t xml:space="preserve"> years after the end of the action.</w:t>
      </w:r>
    </w:p>
    <w:p w14:paraId="1C43E3EA" w14:textId="7B5213EF" w:rsidR="00C60BD6" w:rsidRPr="00A836B9" w:rsidRDefault="00C60BD6" w:rsidP="490E705E">
      <w:pPr>
        <w:ind w:left="1440"/>
        <w:rPr>
          <w:bCs/>
        </w:rPr>
      </w:pPr>
      <w:r w:rsidRPr="00A836B9">
        <w:t xml:space="preserve">Unless </w:t>
      </w:r>
      <w:r w:rsidR="009847FF" w:rsidRPr="00A836B9">
        <w:t>stated</w:t>
      </w:r>
      <w:r w:rsidRPr="00A836B9">
        <w:t xml:space="preserve"> otherwise in the specific call conditions, beneficiaries must</w:t>
      </w:r>
      <w:r w:rsidR="008431FC" w:rsidRPr="00A836B9">
        <w:t>,</w:t>
      </w:r>
      <w:r w:rsidRPr="00A836B9">
        <w:t xml:space="preserve"> up to </w:t>
      </w:r>
      <w:r w:rsidR="008431FC" w:rsidRPr="00A836B9">
        <w:t>4</w:t>
      </w:r>
      <w:r w:rsidRPr="00A836B9">
        <w:t xml:space="preserve"> years after the end of the action</w:t>
      </w:r>
      <w:r w:rsidR="008431FC" w:rsidRPr="00A836B9">
        <w:t>,</w:t>
      </w:r>
      <w:r w:rsidRPr="00A836B9">
        <w:t xml:space="preserve"> inform the granting authority if the results could reasonably be expected to contribute to European or international standards.</w:t>
      </w:r>
    </w:p>
    <w:p w14:paraId="738B51E2" w14:textId="4441A58D" w:rsidR="00C60BD6" w:rsidRPr="00A836B9" w:rsidRDefault="00C60BD6" w:rsidP="490E705E">
      <w:pPr>
        <w:ind w:left="1440"/>
        <w:rPr>
          <w:bCs/>
        </w:rPr>
      </w:pPr>
      <w:r w:rsidRPr="00A836B9">
        <w:t>The granting authority may</w:t>
      </w:r>
      <w:r w:rsidR="008431FC" w:rsidRPr="00A836B9">
        <w:t>,</w:t>
      </w:r>
      <w:r w:rsidRPr="00A836B9">
        <w:t xml:space="preserve"> up to </w:t>
      </w:r>
      <w:r w:rsidR="008431FC" w:rsidRPr="00A836B9">
        <w:t>4</w:t>
      </w:r>
      <w:r w:rsidRPr="00A836B9">
        <w:t xml:space="preserve"> years after the end of the action</w:t>
      </w:r>
      <w:r w:rsidR="008431FC" w:rsidRPr="00A836B9">
        <w:t>,</w:t>
      </w:r>
      <w:r w:rsidRPr="00A836B9">
        <w:t xml:space="preserve"> object to a transfer of ownership or </w:t>
      </w:r>
      <w:r w:rsidR="009847FF" w:rsidRPr="00A836B9">
        <w:t xml:space="preserve">to </w:t>
      </w:r>
      <w:r w:rsidRPr="00A836B9">
        <w:t>the exclusive (for Euratom actions, also non-exclusive) licensing of results.</w:t>
      </w:r>
    </w:p>
    <w:p w14:paraId="2DCC0ED1" w14:textId="283A540E" w:rsidR="000B079C" w:rsidRPr="00A836B9" w:rsidRDefault="00C60BD6" w:rsidP="00CD51A9">
      <w:pPr>
        <w:numPr>
          <w:ilvl w:val="0"/>
          <w:numId w:val="19"/>
        </w:numPr>
        <w:rPr>
          <w:bCs/>
        </w:rPr>
      </w:pPr>
      <w:r w:rsidRPr="00A836B9">
        <w:t xml:space="preserve">Communication, dissemination, </w:t>
      </w:r>
      <w:r w:rsidR="008617ED" w:rsidRPr="00A836B9">
        <w:t xml:space="preserve">open science </w:t>
      </w:r>
      <w:r w:rsidRPr="00A836B9">
        <w:t xml:space="preserve">and visibility </w:t>
      </w:r>
      <w:r w:rsidRPr="00A836B9">
        <w:rPr>
          <w:i/>
          <w:iCs/>
        </w:rPr>
        <w:t>(art</w:t>
      </w:r>
      <w:r w:rsidR="00CD51A9" w:rsidRPr="00A836B9">
        <w:rPr>
          <w:i/>
          <w:iCs/>
        </w:rPr>
        <w:t>icle</w:t>
      </w:r>
      <w:r w:rsidRPr="00A836B9">
        <w:rPr>
          <w:i/>
          <w:iCs/>
        </w:rPr>
        <w:t xml:space="preserve"> 17 and </w:t>
      </w:r>
      <w:r w:rsidR="00C40DC9" w:rsidRPr="00A836B9">
        <w:rPr>
          <w:i/>
          <w:iCs/>
        </w:rPr>
        <w:t>Annex</w:t>
      </w:r>
      <w:r w:rsidRPr="00A836B9">
        <w:rPr>
          <w:i/>
          <w:iCs/>
        </w:rPr>
        <w:t xml:space="preserve"> 5)</w:t>
      </w:r>
      <w:r w:rsidR="00CD51A9" w:rsidRPr="00A836B9">
        <w:rPr>
          <w:i/>
          <w:iCs/>
        </w:rPr>
        <w:t>.</w:t>
      </w:r>
      <w:r w:rsidR="00CD51A9" w:rsidRPr="00A836B9">
        <w:t xml:space="preserve"> In</w:t>
      </w:r>
      <w:r w:rsidR="000B079C" w:rsidRPr="00A836B9">
        <w:t xml:space="preserve"> addition to the standard provisions, the following specific provisions in the model grant agreement will apply to all </w:t>
      </w:r>
      <w:r w:rsidR="006F443C" w:rsidRPr="00A836B9">
        <w:t xml:space="preserve">grants awarded </w:t>
      </w:r>
      <w:r w:rsidR="000B079C" w:rsidRPr="00A836B9">
        <w:t>under this work programme:</w:t>
      </w:r>
    </w:p>
    <w:p w14:paraId="227A1822" w14:textId="2A24BD93" w:rsidR="0049153E" w:rsidRPr="00A836B9" w:rsidRDefault="00C60BD6" w:rsidP="0049153E">
      <w:pPr>
        <w:ind w:left="1440"/>
        <w:rPr>
          <w:bCs/>
        </w:rPr>
      </w:pPr>
      <w:r w:rsidRPr="00A836B9">
        <w:rPr>
          <w:bCs/>
        </w:rPr>
        <w:t xml:space="preserve">Beneficiaries must provide (digital or physical) access to data or other results needed </w:t>
      </w:r>
      <w:r w:rsidR="009847FF" w:rsidRPr="00A836B9">
        <w:rPr>
          <w:bCs/>
        </w:rPr>
        <w:t>to</w:t>
      </w:r>
      <w:r w:rsidRPr="00A836B9">
        <w:rPr>
          <w:bCs/>
        </w:rPr>
        <w:t xml:space="preserve"> validat</w:t>
      </w:r>
      <w:r w:rsidR="009847FF" w:rsidRPr="00A836B9">
        <w:rPr>
          <w:bCs/>
        </w:rPr>
        <w:t>e</w:t>
      </w:r>
      <w:r w:rsidRPr="00A836B9">
        <w:rPr>
          <w:bCs/>
        </w:rPr>
        <w:t xml:space="preserve"> the conclusions of scientific publications, to the extent that their legitimate interests or constraints are safeguarded (and unless they already provided the (open) access at publication</w:t>
      </w:r>
      <w:r w:rsidR="00D165A3" w:rsidRPr="00A836B9">
        <w:rPr>
          <w:bCs/>
        </w:rPr>
        <w:t>)</w:t>
      </w:r>
      <w:r w:rsidRPr="00A836B9">
        <w:rPr>
          <w:bCs/>
        </w:rPr>
        <w:t>.</w:t>
      </w:r>
    </w:p>
    <w:p w14:paraId="2049E170" w14:textId="6405D8FA" w:rsidR="0049153E" w:rsidRPr="00A836B9" w:rsidRDefault="00C60BD6" w:rsidP="490E705E">
      <w:pPr>
        <w:ind w:left="1440"/>
        <w:rPr>
          <w:bCs/>
        </w:rPr>
      </w:pPr>
      <w:r w:rsidRPr="00A836B9">
        <w:t xml:space="preserve">In case of a public emergency, if requested by the granting authority, beneficiaries must immediately deposit any research output in a repository and provide open access to it under a CC BY licence, a </w:t>
      </w:r>
      <w:r w:rsidR="009847FF" w:rsidRPr="00A836B9">
        <w:t>p</w:t>
      </w:r>
      <w:r w:rsidRPr="00A836B9">
        <w:t xml:space="preserve">ublic </w:t>
      </w:r>
      <w:r w:rsidR="009847FF" w:rsidRPr="00A836B9">
        <w:t>d</w:t>
      </w:r>
      <w:r w:rsidRPr="00A836B9">
        <w:t xml:space="preserve">omain </w:t>
      </w:r>
      <w:r w:rsidR="009847FF" w:rsidRPr="00A836B9">
        <w:t>d</w:t>
      </w:r>
      <w:r w:rsidRPr="00A836B9">
        <w:t xml:space="preserve">edication (CC 0) or equivalent. </w:t>
      </w:r>
    </w:p>
    <w:p w14:paraId="72D27A9D" w14:textId="07B9E293" w:rsidR="00C60BD6" w:rsidRPr="00A836B9" w:rsidRDefault="00C60BD6" w:rsidP="490E705E">
      <w:pPr>
        <w:ind w:left="1440"/>
        <w:rPr>
          <w:bCs/>
        </w:rPr>
      </w:pPr>
      <w:r w:rsidRPr="00A836B9">
        <w:t>As an exception, if providing open access would be against the beneficiaries’ legitimate interests, the beneficiaries must grant non-exclusive licen</w:t>
      </w:r>
      <w:r w:rsidR="00E62215">
        <w:t>c</w:t>
      </w:r>
      <w:r w:rsidRPr="00A836B9">
        <w:t>es</w:t>
      </w:r>
      <w:r w:rsidR="00CD51A9" w:rsidRPr="00A836B9">
        <w:t>,</w:t>
      </w:r>
      <w:r w:rsidRPr="00A836B9">
        <w:t xml:space="preserve"> on fair and reasonable conditions</w:t>
      </w:r>
      <w:r w:rsidR="00CD51A9" w:rsidRPr="00A836B9">
        <w:t>,</w:t>
      </w:r>
      <w:r w:rsidRPr="00A836B9">
        <w:t xml:space="preserve"> to legal entities that need the research output to address the public emergency</w:t>
      </w:r>
      <w:r w:rsidR="009847FF" w:rsidRPr="00A836B9">
        <w:t>. These legal entities must</w:t>
      </w:r>
      <w:r w:rsidRPr="00A836B9">
        <w:t xml:space="preserve"> commit to rapidly and broadly exploit</w:t>
      </w:r>
      <w:r w:rsidR="009847FF" w:rsidRPr="00A836B9">
        <w:t>ing</w:t>
      </w:r>
      <w:r w:rsidRPr="00A836B9">
        <w:t xml:space="preserve"> the resulting products and services </w:t>
      </w:r>
      <w:r w:rsidR="00CD51A9" w:rsidRPr="00A836B9">
        <w:t>on</w:t>
      </w:r>
      <w:r w:rsidRPr="00A836B9">
        <w:t xml:space="preserve"> fair and reasonable conditions. This exception is limited to </w:t>
      </w:r>
      <w:r w:rsidR="00CD51A9" w:rsidRPr="00A836B9">
        <w:t>4</w:t>
      </w:r>
      <w:r w:rsidRPr="00A836B9">
        <w:t xml:space="preserve"> years after the end of the action.</w:t>
      </w:r>
    </w:p>
    <w:p w14:paraId="0FB6D186" w14:textId="56126FF0" w:rsidR="00C60BD6" w:rsidRPr="00A836B9" w:rsidRDefault="00C60BD6" w:rsidP="490E705E">
      <w:pPr>
        <w:numPr>
          <w:ilvl w:val="0"/>
          <w:numId w:val="19"/>
        </w:numPr>
      </w:pPr>
      <w:r w:rsidRPr="00A836B9">
        <w:t xml:space="preserve">Specific rules for carrying out the action </w:t>
      </w:r>
      <w:r w:rsidRPr="00A836B9">
        <w:rPr>
          <w:i/>
          <w:iCs/>
        </w:rPr>
        <w:t>(art</w:t>
      </w:r>
      <w:r w:rsidR="00CD51A9" w:rsidRPr="00A836B9">
        <w:rPr>
          <w:i/>
          <w:iCs/>
        </w:rPr>
        <w:t>icle</w:t>
      </w:r>
      <w:r w:rsidRPr="00A836B9">
        <w:rPr>
          <w:i/>
          <w:iCs/>
        </w:rPr>
        <w:t xml:space="preserve"> 18 and </w:t>
      </w:r>
      <w:r w:rsidR="00C40DC9" w:rsidRPr="00A836B9">
        <w:rPr>
          <w:i/>
          <w:iCs/>
        </w:rPr>
        <w:t>Annex</w:t>
      </w:r>
      <w:r w:rsidRPr="00A836B9">
        <w:rPr>
          <w:i/>
          <w:iCs/>
        </w:rPr>
        <w:t xml:space="preserve"> 5)</w:t>
      </w:r>
      <w:r w:rsidR="00CD51A9" w:rsidRPr="00A836B9">
        <w:rPr>
          <w:iCs/>
        </w:rPr>
        <w:t>.</w:t>
      </w:r>
    </w:p>
    <w:p w14:paraId="7390B826" w14:textId="32F96AA1" w:rsidR="00C60BD6" w:rsidRPr="00A836B9" w:rsidRDefault="00C60BD6" w:rsidP="490E705E">
      <w:pPr>
        <w:rPr>
          <w:bCs/>
        </w:rPr>
      </w:pPr>
      <w:r w:rsidRPr="00A836B9">
        <w:t xml:space="preserve">Other provisions </w:t>
      </w:r>
      <w:r w:rsidR="001C0C7A" w:rsidRPr="00A836B9">
        <w:t xml:space="preserve">may </w:t>
      </w:r>
      <w:r w:rsidRPr="00A836B9">
        <w:t>be set out in the specific call conditions.</w:t>
      </w:r>
    </w:p>
    <w:p w14:paraId="11F58C09" w14:textId="77777777" w:rsidR="00C60BD6" w:rsidRPr="00A836B9" w:rsidRDefault="00C60BD6" w:rsidP="490E705E">
      <w:pPr>
        <w:rPr>
          <w:b/>
          <w:bCs/>
          <w:i/>
          <w:iCs/>
          <w:u w:val="single"/>
        </w:rPr>
      </w:pPr>
      <w:r w:rsidRPr="00A836B9">
        <w:rPr>
          <w:b/>
          <w:bCs/>
          <w:i/>
          <w:iCs/>
          <w:u w:val="single"/>
        </w:rPr>
        <w:t>Non-compliance and breach of contract</w:t>
      </w:r>
      <w:r w:rsidRPr="00A836B9" w:rsidDel="00862B39">
        <w:rPr>
          <w:b/>
          <w:bCs/>
          <w:i/>
          <w:iCs/>
          <w:u w:val="single"/>
        </w:rPr>
        <w:t xml:space="preserve"> </w:t>
      </w:r>
    </w:p>
    <w:p w14:paraId="1409DD0F" w14:textId="0135E537" w:rsidR="00C60BD6" w:rsidRPr="00A836B9" w:rsidRDefault="00C60BD6" w:rsidP="490E705E">
      <w:pPr>
        <w:rPr>
          <w:bCs/>
        </w:rPr>
      </w:pPr>
      <w:r w:rsidRPr="00A836B9">
        <w:t xml:space="preserve">The grant agreement </w:t>
      </w:r>
      <w:r w:rsidRPr="00A836B9">
        <w:rPr>
          <w:i/>
          <w:iCs/>
        </w:rPr>
        <w:t>(</w:t>
      </w:r>
      <w:r w:rsidR="00CD51A9" w:rsidRPr="00A836B9">
        <w:rPr>
          <w:i/>
          <w:iCs/>
        </w:rPr>
        <w:t>C</w:t>
      </w:r>
      <w:r w:rsidRPr="00A836B9">
        <w:rPr>
          <w:i/>
          <w:iCs/>
        </w:rPr>
        <w:t>hapter 5)</w:t>
      </w:r>
      <w:r w:rsidRPr="00A836B9">
        <w:t xml:space="preserve"> provides for the measures that may be taken in case of breach of contract (and other violations of law).</w:t>
      </w:r>
    </w:p>
    <w:p w14:paraId="59724D3B" w14:textId="77777777" w:rsidR="00C60BD6" w:rsidRPr="00A836B9" w:rsidRDefault="00C60BD6" w:rsidP="490E705E">
      <w:pPr>
        <w:rPr>
          <w:bCs/>
        </w:rPr>
      </w:pPr>
      <w:r w:rsidRPr="00A836B9">
        <w:rPr>
          <w:bCs/>
          <w:noProof/>
        </w:rPr>
        <w:drawing>
          <wp:inline distT="0" distB="0" distL="0" distR="0" wp14:anchorId="3723521D" wp14:editId="6111EE83">
            <wp:extent cx="142875" cy="142875"/>
            <wp:effectExtent l="0" t="0" r="9525" b="9525"/>
            <wp:docPr id="29" name="Picture 29" descr="https://lh5.googleusercontent.com/-n5VVWXljoCs/T8X1egaB-BI/AAAAAAAAC1I/fLBP4VIzxQM/s16/infoIc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5.googleusercontent.com/-n5VVWXljoCs/T8X1egaB-BI/AAAAAAAAC1I/fLBP4VIzxQM/s16/infoIcon_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836B9">
        <w:t xml:space="preserve"> For more information, </w:t>
      </w:r>
      <w:r w:rsidRPr="00A836B9">
        <w:rPr>
          <w:i/>
          <w:iCs/>
        </w:rPr>
        <w:t xml:space="preserve">see the </w:t>
      </w:r>
      <w:hyperlink r:id="rId25" w:history="1">
        <w:r w:rsidRPr="00A836B9">
          <w:rPr>
            <w:i/>
            <w:iCs/>
            <w:color w:val="0088CC"/>
            <w:u w:val="single"/>
          </w:rPr>
          <w:t xml:space="preserve">AGA </w:t>
        </w:r>
        <w:r w:rsidRPr="00A836B9">
          <w:rPr>
            <w:color w:val="0088CC"/>
            <w:u w:val="single"/>
          </w:rPr>
          <w:t>—</w:t>
        </w:r>
        <w:r w:rsidRPr="00A836B9">
          <w:rPr>
            <w:i/>
            <w:iCs/>
            <w:color w:val="0088CC"/>
            <w:u w:val="single"/>
          </w:rPr>
          <w:t xml:space="preserve"> Annotated Grant Agreement</w:t>
        </w:r>
      </w:hyperlink>
      <w:r w:rsidRPr="00A836B9">
        <w:t xml:space="preserve">. </w:t>
      </w:r>
    </w:p>
    <w:p w14:paraId="1109C6E6" w14:textId="77777777" w:rsidR="00C60BD6" w:rsidRPr="00A836B9" w:rsidRDefault="00C60BD6" w:rsidP="00C60BD6">
      <w:pPr>
        <w:jc w:val="left"/>
        <w:rPr>
          <w:bCs/>
        </w:rPr>
      </w:pPr>
      <w:r w:rsidRPr="00A836B9">
        <w:rPr>
          <w:bCs/>
        </w:rPr>
        <w:br w:type="page"/>
      </w:r>
    </w:p>
    <w:p w14:paraId="3F201FB3" w14:textId="63D9D808" w:rsidR="00C60BD6" w:rsidRPr="00A836B9" w:rsidRDefault="00C60BD6" w:rsidP="00C60BD6">
      <w:pPr>
        <w:rPr>
          <w:b/>
          <w:i/>
          <w:szCs w:val="24"/>
          <w:u w:val="single"/>
        </w:rPr>
      </w:pPr>
    </w:p>
    <w:p w14:paraId="4E6CEE11" w14:textId="37419501" w:rsidR="00C60BD6" w:rsidRPr="00A836B9" w:rsidRDefault="00567817" w:rsidP="00C60BD6">
      <w:pPr>
        <w:rPr>
          <w:szCs w:val="24"/>
        </w:rPr>
      </w:pPr>
      <w:r w:rsidRPr="00A836B9">
        <w:rPr>
          <w:b/>
          <w:i/>
          <w:noProof/>
          <w:szCs w:val="24"/>
          <w:u w:val="single"/>
        </w:rPr>
        <mc:AlternateContent>
          <mc:Choice Requires="wps">
            <w:drawing>
              <wp:anchor distT="0" distB="0" distL="114300" distR="114300" simplePos="0" relativeHeight="251658752" behindDoc="0" locked="0" layoutInCell="1" allowOverlap="1" wp14:anchorId="07F7F87A" wp14:editId="56778C1D">
                <wp:simplePos x="0" y="0"/>
                <wp:positionH relativeFrom="column">
                  <wp:posOffset>109855</wp:posOffset>
                </wp:positionH>
                <wp:positionV relativeFrom="paragraph">
                  <wp:posOffset>39370</wp:posOffset>
                </wp:positionV>
                <wp:extent cx="5473065" cy="7412355"/>
                <wp:effectExtent l="0" t="0" r="13335" b="171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412355"/>
                        </a:xfrm>
                        <a:prstGeom prst="rect">
                          <a:avLst/>
                        </a:prstGeom>
                        <a:solidFill>
                          <a:srgbClr val="F2F2F2"/>
                        </a:solidFill>
                        <a:ln w="19050">
                          <a:solidFill>
                            <a:srgbClr val="BFBFBF"/>
                          </a:solidFill>
                          <a:miter lim="800000"/>
                          <a:headEnd/>
                          <a:tailEnd/>
                        </a:ln>
                      </wps:spPr>
                      <wps:txbx>
                        <w:txbxContent>
                          <w:p w14:paraId="08B53F94" w14:textId="77777777" w:rsidR="004746B1" w:rsidRPr="006010BA" w:rsidRDefault="004746B1" w:rsidP="00C60BD6">
                            <w:pPr>
                              <w:pStyle w:val="Text1"/>
                              <w:spacing w:before="120" w:after="120"/>
                              <w:ind w:left="0"/>
                              <w:rPr>
                                <w:rFonts w:cs="Arial"/>
                                <w:color w:val="F79646"/>
                                <w:sz w:val="16"/>
                                <w:szCs w:val="18"/>
                              </w:rPr>
                            </w:pPr>
                            <w:r>
                              <w:rPr>
                                <w:rFonts w:cs="Arial"/>
                                <w:noProof/>
                                <w:color w:val="7F7F7F"/>
                                <w:sz w:val="18"/>
                                <w:szCs w:val="21"/>
                                <w:lang w:eastAsia="en-GB"/>
                              </w:rPr>
                              <w:drawing>
                                <wp:inline distT="0" distB="0" distL="0" distR="0" wp14:anchorId="52CD5014" wp14:editId="2986020F">
                                  <wp:extent cx="177165" cy="177165"/>
                                  <wp:effectExtent l="0" t="0" r="0" b="0"/>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arn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6010BA">
                              <w:rPr>
                                <w:noProof/>
                                <w:sz w:val="18"/>
                                <w:szCs w:val="18"/>
                                <w:lang w:eastAsia="en-GB"/>
                              </w:rPr>
                              <w:t xml:space="preserve"> </w:t>
                            </w:r>
                            <w:r w:rsidRPr="00F14350">
                              <w:rPr>
                                <w:rFonts w:cs="Arial"/>
                                <w:b/>
                                <w:color w:val="595959"/>
                                <w:sz w:val="18"/>
                                <w:szCs w:val="18"/>
                              </w:rPr>
                              <w:t xml:space="preserve">IMPORTANT </w:t>
                            </w:r>
                          </w:p>
                          <w:p w14:paraId="2C54D1E1" w14:textId="61A430D6" w:rsidR="004746B1" w:rsidRPr="00A53E20" w:rsidRDefault="004746B1" w:rsidP="00C60BD6">
                            <w:pPr>
                              <w:numPr>
                                <w:ilvl w:val="0"/>
                                <w:numId w:val="11"/>
                              </w:numPr>
                              <w:spacing w:after="120" w:line="240" w:lineRule="auto"/>
                              <w:ind w:left="480" w:right="79"/>
                              <w:rPr>
                                <w:color w:val="595959"/>
                                <w:sz w:val="18"/>
                                <w:szCs w:val="18"/>
                              </w:rPr>
                            </w:pPr>
                            <w:r w:rsidRPr="00A53E20">
                              <w:rPr>
                                <w:b/>
                                <w:color w:val="595959"/>
                                <w:sz w:val="18"/>
                              </w:rPr>
                              <w:t>Do</w:t>
                            </w:r>
                            <w:r>
                              <w:rPr>
                                <w:b/>
                                <w:color w:val="595959"/>
                                <w:sz w:val="18"/>
                              </w:rPr>
                              <w:t xml:space="preserve"> </w:t>
                            </w:r>
                            <w:r w:rsidRPr="00A53E20">
                              <w:rPr>
                                <w:b/>
                                <w:color w:val="595959"/>
                                <w:sz w:val="18"/>
                              </w:rPr>
                              <w:t>n</w:t>
                            </w:r>
                            <w:r>
                              <w:rPr>
                                <w:b/>
                                <w:color w:val="595959"/>
                                <w:sz w:val="18"/>
                              </w:rPr>
                              <w:t>o</w:t>
                            </w:r>
                            <w:r w:rsidRPr="00A53E20">
                              <w:rPr>
                                <w:b/>
                                <w:color w:val="595959"/>
                                <w:sz w:val="18"/>
                              </w:rPr>
                              <w:t>t wait</w:t>
                            </w:r>
                            <w:r w:rsidRPr="00A53E20">
                              <w:rPr>
                                <w:color w:val="595959"/>
                                <w:sz w:val="18"/>
                              </w:rPr>
                              <w:t xml:space="preserve"> </w:t>
                            </w:r>
                            <w:r w:rsidRPr="00A53E20">
                              <w:rPr>
                                <w:rFonts w:eastAsia="Calibri"/>
                                <w:b/>
                                <w:color w:val="595959"/>
                                <w:sz w:val="18"/>
                                <w:szCs w:val="18"/>
                              </w:rPr>
                              <w:t>until</w:t>
                            </w:r>
                            <w:r w:rsidRPr="00A53E20">
                              <w:rPr>
                                <w:b/>
                                <w:color w:val="595959"/>
                                <w:sz w:val="18"/>
                              </w:rPr>
                              <w:t xml:space="preserve"> the end</w:t>
                            </w:r>
                            <w:r>
                              <w:rPr>
                                <w:color w:val="595959"/>
                                <w:sz w:val="18"/>
                              </w:rPr>
                              <w:t xml:space="preserve"> </w:t>
                            </w:r>
                            <w:r w:rsidRPr="00A53E20">
                              <w:rPr>
                                <w:rFonts w:eastAsia="Calibri"/>
                                <w:b/>
                                <w:color w:val="595959"/>
                                <w:sz w:val="18"/>
                                <w:szCs w:val="18"/>
                              </w:rPr>
                              <w:t>—</w:t>
                            </w:r>
                            <w:r w:rsidRPr="00A53E20">
                              <w:rPr>
                                <w:color w:val="595959"/>
                                <w:sz w:val="18"/>
                              </w:rPr>
                              <w:t xml:space="preserve"> Complete </w:t>
                            </w:r>
                            <w:r>
                              <w:rPr>
                                <w:color w:val="595959"/>
                                <w:sz w:val="18"/>
                              </w:rPr>
                              <w:t>the</w:t>
                            </w:r>
                            <w:r w:rsidRPr="00A53E20">
                              <w:rPr>
                                <w:color w:val="595959"/>
                                <w:sz w:val="18"/>
                              </w:rPr>
                              <w:t xml:space="preserve"> </w:t>
                            </w:r>
                            <w:r>
                              <w:rPr>
                                <w:color w:val="595959"/>
                                <w:sz w:val="18"/>
                              </w:rPr>
                              <w:t>application</w:t>
                            </w:r>
                            <w:r w:rsidRPr="00A53E20">
                              <w:rPr>
                                <w:color w:val="595959"/>
                                <w:sz w:val="18"/>
                              </w:rPr>
                              <w:t xml:space="preserve"> sufficiently in advance of the deadline to avoid any last minute </w:t>
                            </w:r>
                            <w:r w:rsidRPr="00A53E20">
                              <w:rPr>
                                <w:b/>
                                <w:color w:val="595959"/>
                                <w:sz w:val="18"/>
                              </w:rPr>
                              <w:t>technical problems</w:t>
                            </w:r>
                            <w:r w:rsidRPr="00A53E20">
                              <w:rPr>
                                <w:color w:val="595959"/>
                                <w:sz w:val="18"/>
                              </w:rPr>
                              <w:t>. Problems due to last</w:t>
                            </w:r>
                            <w:r>
                              <w:rPr>
                                <w:color w:val="595959"/>
                                <w:sz w:val="18"/>
                              </w:rPr>
                              <w:t>-</w:t>
                            </w:r>
                            <w:r w:rsidRPr="00A53E20">
                              <w:rPr>
                                <w:color w:val="595959"/>
                                <w:sz w:val="18"/>
                              </w:rPr>
                              <w:t xml:space="preserve">minute submissions </w:t>
                            </w:r>
                            <w:r w:rsidRPr="00A53E20">
                              <w:rPr>
                                <w:i/>
                                <w:color w:val="595959"/>
                                <w:sz w:val="18"/>
                              </w:rPr>
                              <w:t>(e.g. congestion, etc.)</w:t>
                            </w:r>
                            <w:r w:rsidRPr="00A53E20">
                              <w:rPr>
                                <w:color w:val="595959"/>
                                <w:sz w:val="18"/>
                              </w:rPr>
                              <w:t xml:space="preserve"> will be entirely at </w:t>
                            </w:r>
                            <w:r>
                              <w:rPr>
                                <w:color w:val="595959"/>
                                <w:sz w:val="18"/>
                              </w:rPr>
                              <w:t xml:space="preserve">applicants’ own </w:t>
                            </w:r>
                            <w:r w:rsidRPr="00A53E20">
                              <w:rPr>
                                <w:color w:val="595959"/>
                                <w:sz w:val="18"/>
                              </w:rPr>
                              <w:t xml:space="preserve">risk. Call </w:t>
                            </w:r>
                            <w:r w:rsidRPr="00A53E20">
                              <w:rPr>
                                <w:color w:val="595959"/>
                                <w:sz w:val="18"/>
                                <w:szCs w:val="18"/>
                              </w:rPr>
                              <w:t>deadlines can NOT be extended</w:t>
                            </w:r>
                            <w:r>
                              <w:rPr>
                                <w:color w:val="595959"/>
                                <w:sz w:val="18"/>
                                <w:szCs w:val="18"/>
                              </w:rPr>
                              <w:t xml:space="preserve"> at the request of applicants</w:t>
                            </w:r>
                            <w:r w:rsidRPr="00A53E20">
                              <w:rPr>
                                <w:color w:val="595959"/>
                                <w:sz w:val="18"/>
                                <w:szCs w:val="18"/>
                              </w:rPr>
                              <w:t>.</w:t>
                            </w:r>
                          </w:p>
                          <w:p w14:paraId="4D0478A8" w14:textId="72F276DA" w:rsidR="004746B1" w:rsidRPr="00085C68" w:rsidRDefault="004746B1" w:rsidP="00C60BD6">
                            <w:pPr>
                              <w:numPr>
                                <w:ilvl w:val="0"/>
                                <w:numId w:val="11"/>
                              </w:numPr>
                              <w:spacing w:line="240" w:lineRule="auto"/>
                              <w:ind w:left="480" w:right="79"/>
                              <w:rPr>
                                <w:color w:val="595959"/>
                                <w:sz w:val="16"/>
                                <w:szCs w:val="18"/>
                              </w:rPr>
                            </w:pPr>
                            <w:r w:rsidRPr="00085C68">
                              <w:rPr>
                                <w:rFonts w:cs="Arial"/>
                                <w:b/>
                                <w:color w:val="595959"/>
                                <w:sz w:val="18"/>
                              </w:rPr>
                              <w:t>Consult</w:t>
                            </w:r>
                            <w:r w:rsidRPr="00085C68">
                              <w:rPr>
                                <w:rFonts w:cs="Arial"/>
                                <w:color w:val="595959"/>
                                <w:sz w:val="18"/>
                              </w:rPr>
                              <w:t xml:space="preserve"> the </w:t>
                            </w:r>
                            <w:r>
                              <w:rPr>
                                <w:rFonts w:eastAsia="Calibri"/>
                                <w:color w:val="595959"/>
                                <w:sz w:val="18"/>
                                <w:szCs w:val="18"/>
                              </w:rPr>
                              <w:t>t</w:t>
                            </w:r>
                            <w:r w:rsidRPr="00A53E20">
                              <w:rPr>
                                <w:rFonts w:eastAsia="Calibri"/>
                                <w:color w:val="595959"/>
                                <w:sz w:val="18"/>
                                <w:szCs w:val="18"/>
                              </w:rPr>
                              <w:t xml:space="preserve">opic page </w:t>
                            </w:r>
                            <w:r>
                              <w:rPr>
                                <w:rFonts w:eastAsia="Calibri"/>
                                <w:color w:val="595959"/>
                                <w:sz w:val="18"/>
                                <w:szCs w:val="18"/>
                              </w:rPr>
                              <w:t xml:space="preserve">on the Portal </w:t>
                            </w:r>
                            <w:r w:rsidRPr="00A53E20">
                              <w:rPr>
                                <w:rFonts w:eastAsia="Calibri"/>
                                <w:color w:val="595959"/>
                                <w:sz w:val="18"/>
                                <w:szCs w:val="18"/>
                              </w:rPr>
                              <w:t xml:space="preserve">regularly. </w:t>
                            </w:r>
                            <w:r>
                              <w:rPr>
                                <w:rFonts w:eastAsia="Calibri"/>
                                <w:color w:val="595959"/>
                                <w:sz w:val="18"/>
                                <w:szCs w:val="18"/>
                              </w:rPr>
                              <w:t>The granting authority</w:t>
                            </w:r>
                            <w:r w:rsidRPr="00A53E20">
                              <w:rPr>
                                <w:rFonts w:eastAsia="Calibri"/>
                                <w:color w:val="595959"/>
                                <w:sz w:val="18"/>
                                <w:szCs w:val="18"/>
                              </w:rPr>
                              <w:t xml:space="preserve"> will use it to publish updates and additional info</w:t>
                            </w:r>
                            <w:r w:rsidRPr="00085C68">
                              <w:rPr>
                                <w:rFonts w:cs="Arial"/>
                                <w:color w:val="595959"/>
                                <w:sz w:val="18"/>
                              </w:rPr>
                              <w:t>rmation on the call (</w:t>
                            </w:r>
                            <w:r>
                              <w:rPr>
                                <w:rFonts w:cs="Arial"/>
                                <w:color w:val="595959"/>
                                <w:sz w:val="18"/>
                              </w:rPr>
                              <w:t>call</w:t>
                            </w:r>
                            <w:r w:rsidRPr="00085C68">
                              <w:rPr>
                                <w:rFonts w:cs="Arial"/>
                                <w:color w:val="595959"/>
                                <w:sz w:val="18"/>
                              </w:rPr>
                              <w:t xml:space="preserve"> updates).</w:t>
                            </w:r>
                          </w:p>
                          <w:p w14:paraId="3F95AFA8" w14:textId="14CC3710" w:rsidR="004746B1" w:rsidRPr="00A53E20" w:rsidRDefault="004746B1" w:rsidP="00C60BD6">
                            <w:pPr>
                              <w:numPr>
                                <w:ilvl w:val="0"/>
                                <w:numId w:val="11"/>
                              </w:numPr>
                              <w:spacing w:line="240" w:lineRule="auto"/>
                              <w:ind w:left="480" w:right="79"/>
                              <w:rPr>
                                <w:rFonts w:cs="Arial"/>
                                <w:color w:val="595959"/>
                                <w:sz w:val="18"/>
                                <w:szCs w:val="18"/>
                              </w:rPr>
                            </w:pPr>
                            <w:r>
                              <w:rPr>
                                <w:rFonts w:cs="Arial"/>
                                <w:b/>
                                <w:color w:val="595959"/>
                                <w:sz w:val="18"/>
                                <w:szCs w:val="18"/>
                              </w:rPr>
                              <w:t>Funding &amp; Tenders Portal elec</w:t>
                            </w:r>
                            <w:r w:rsidRPr="00B870D7">
                              <w:rPr>
                                <w:rFonts w:cs="Arial"/>
                                <w:b/>
                                <w:color w:val="595959"/>
                                <w:sz w:val="18"/>
                                <w:szCs w:val="18"/>
                              </w:rPr>
                              <w:t>tro</w:t>
                            </w:r>
                            <w:r>
                              <w:rPr>
                                <w:rFonts w:cs="Arial"/>
                                <w:b/>
                                <w:color w:val="595959"/>
                                <w:sz w:val="18"/>
                                <w:szCs w:val="18"/>
                              </w:rPr>
                              <w:t>nic exchange system</w:t>
                            </w:r>
                            <w:r>
                              <w:rPr>
                                <w:rFonts w:cs="Arial"/>
                                <w:color w:val="595959"/>
                                <w:sz w:val="18"/>
                                <w:szCs w:val="18"/>
                              </w:rPr>
                              <w:t xml:space="preserve"> </w:t>
                            </w:r>
                            <w:r w:rsidRPr="006010BA">
                              <w:rPr>
                                <w:rFonts w:eastAsia="Calibri"/>
                                <w:b/>
                                <w:color w:val="595959"/>
                                <w:sz w:val="18"/>
                                <w:szCs w:val="18"/>
                              </w:rPr>
                              <w:t>—</w:t>
                            </w:r>
                            <w:r>
                              <w:rPr>
                                <w:rFonts w:eastAsia="Calibri"/>
                                <w:b/>
                                <w:color w:val="595959"/>
                                <w:sz w:val="18"/>
                                <w:szCs w:val="18"/>
                              </w:rPr>
                              <w:t xml:space="preserve"> </w:t>
                            </w:r>
                            <w:r w:rsidRPr="006010BA">
                              <w:rPr>
                                <w:rFonts w:cs="Arial"/>
                                <w:color w:val="595959"/>
                                <w:sz w:val="18"/>
                                <w:szCs w:val="18"/>
                              </w:rPr>
                              <w:t xml:space="preserve">By submitting the </w:t>
                            </w:r>
                            <w:r>
                              <w:rPr>
                                <w:rFonts w:cs="Arial"/>
                                <w:color w:val="595959"/>
                                <w:sz w:val="18"/>
                                <w:szCs w:val="18"/>
                              </w:rPr>
                              <w:t>application</w:t>
                            </w:r>
                            <w:r w:rsidRPr="006010BA">
                              <w:rPr>
                                <w:rFonts w:cs="Arial"/>
                                <w:color w:val="595959"/>
                                <w:sz w:val="18"/>
                                <w:szCs w:val="18"/>
                              </w:rPr>
                              <w:t xml:space="preserve">, all </w:t>
                            </w:r>
                            <w:r>
                              <w:rPr>
                                <w:rFonts w:cs="Arial"/>
                                <w:color w:val="595959"/>
                                <w:sz w:val="18"/>
                                <w:szCs w:val="18"/>
                              </w:rPr>
                              <w:t>applicants</w:t>
                            </w:r>
                            <w:r w:rsidRPr="006010BA">
                              <w:rPr>
                                <w:rFonts w:cs="Arial"/>
                                <w:color w:val="595959"/>
                                <w:sz w:val="18"/>
                                <w:szCs w:val="18"/>
                              </w:rPr>
                              <w:t xml:space="preserve"> </w:t>
                            </w:r>
                            <w:r w:rsidRPr="006010BA">
                              <w:rPr>
                                <w:rFonts w:cs="Arial"/>
                                <w:b/>
                                <w:color w:val="595959"/>
                                <w:sz w:val="18"/>
                                <w:szCs w:val="18"/>
                              </w:rPr>
                              <w:t>accept</w:t>
                            </w:r>
                            <w:r>
                              <w:rPr>
                                <w:rFonts w:cs="Arial"/>
                                <w:color w:val="595959"/>
                                <w:sz w:val="18"/>
                                <w:szCs w:val="18"/>
                              </w:rPr>
                              <w:t xml:space="preserve"> </w:t>
                            </w:r>
                            <w:r w:rsidRPr="00A53E20">
                              <w:rPr>
                                <w:rFonts w:cs="Arial"/>
                                <w:color w:val="595959"/>
                                <w:sz w:val="18"/>
                                <w:szCs w:val="18"/>
                              </w:rPr>
                              <w:t>to use the electronic exchange system in accordance with the</w:t>
                            </w:r>
                            <w:r w:rsidRPr="00A53E20">
                              <w:rPr>
                                <w:rFonts w:cs="Arial"/>
                                <w:sz w:val="18"/>
                                <w:szCs w:val="18"/>
                              </w:rPr>
                              <w:t xml:space="preserve"> </w:t>
                            </w:r>
                            <w:hyperlink r:id="rId27" w:history="1">
                              <w:r w:rsidRPr="00CD17AD">
                                <w:rPr>
                                  <w:rStyle w:val="Hyperlink"/>
                                  <w:rFonts w:cs="Arial"/>
                                  <w:sz w:val="18"/>
                                  <w:szCs w:val="18"/>
                                </w:rPr>
                                <w:t>Portal Terms &amp; Conditions</w:t>
                              </w:r>
                            </w:hyperlink>
                            <w:r w:rsidRPr="00A53E20">
                              <w:rPr>
                                <w:rFonts w:cs="Arial"/>
                                <w:color w:val="7F7F7F"/>
                                <w:sz w:val="18"/>
                                <w:szCs w:val="18"/>
                              </w:rPr>
                              <w:t>.</w:t>
                            </w:r>
                          </w:p>
                          <w:p w14:paraId="6C8085B6" w14:textId="2F12F0C2" w:rsidR="004746B1" w:rsidRDefault="004746B1" w:rsidP="00C60BD6">
                            <w:pPr>
                              <w:numPr>
                                <w:ilvl w:val="0"/>
                                <w:numId w:val="11"/>
                              </w:numPr>
                              <w:spacing w:line="240" w:lineRule="auto"/>
                              <w:ind w:left="480" w:right="79"/>
                              <w:rPr>
                                <w:rFonts w:cs="Arial"/>
                                <w:color w:val="595959"/>
                                <w:sz w:val="18"/>
                                <w:szCs w:val="18"/>
                              </w:rPr>
                            </w:pPr>
                            <w:r>
                              <w:rPr>
                                <w:b/>
                                <w:color w:val="595959"/>
                                <w:sz w:val="18"/>
                                <w:szCs w:val="18"/>
                              </w:rPr>
                              <w:t>Registration</w:t>
                            </w:r>
                            <w:r w:rsidRPr="00A87DF7">
                              <w:rPr>
                                <w:rFonts w:cs="Arial"/>
                                <w:color w:val="595959"/>
                                <w:sz w:val="18"/>
                              </w:rPr>
                              <w:t xml:space="preserve"> </w:t>
                            </w:r>
                            <w:r w:rsidRPr="00A87DF7">
                              <w:rPr>
                                <w:rFonts w:eastAsia="Calibri"/>
                                <w:b/>
                                <w:color w:val="595959"/>
                                <w:sz w:val="18"/>
                                <w:szCs w:val="18"/>
                              </w:rPr>
                              <w:t>—</w:t>
                            </w:r>
                            <w:r>
                              <w:rPr>
                                <w:rFonts w:eastAsia="Calibri"/>
                                <w:b/>
                                <w:color w:val="595959"/>
                                <w:sz w:val="18"/>
                                <w:szCs w:val="18"/>
                              </w:rPr>
                              <w:t xml:space="preserve"> </w:t>
                            </w:r>
                            <w:r w:rsidRPr="00A53E20">
                              <w:rPr>
                                <w:rFonts w:cs="Arial"/>
                                <w:color w:val="595959"/>
                                <w:sz w:val="18"/>
                              </w:rPr>
                              <w:t>Before</w:t>
                            </w:r>
                            <w:r w:rsidRPr="006010BA">
                              <w:rPr>
                                <w:rFonts w:cs="Arial"/>
                                <w:color w:val="595959"/>
                                <w:sz w:val="18"/>
                                <w:szCs w:val="18"/>
                              </w:rPr>
                              <w:t xml:space="preserve"> submitting </w:t>
                            </w:r>
                            <w:r>
                              <w:rPr>
                                <w:rFonts w:cs="Arial"/>
                                <w:color w:val="595959"/>
                                <w:sz w:val="18"/>
                                <w:szCs w:val="18"/>
                              </w:rPr>
                              <w:t>the application</w:t>
                            </w:r>
                            <w:r w:rsidRPr="006010BA">
                              <w:rPr>
                                <w:rFonts w:cs="Arial"/>
                                <w:color w:val="595959"/>
                                <w:sz w:val="18"/>
                                <w:szCs w:val="18"/>
                              </w:rPr>
                              <w:t xml:space="preserve">, all </w:t>
                            </w:r>
                            <w:r>
                              <w:rPr>
                                <w:rFonts w:cs="Arial"/>
                                <w:color w:val="595959"/>
                                <w:sz w:val="18"/>
                                <w:szCs w:val="18"/>
                              </w:rPr>
                              <w:t xml:space="preserve">beneficiaries </w:t>
                            </w:r>
                            <w:r w:rsidRPr="0077243B">
                              <w:rPr>
                                <w:rFonts w:cs="Arial"/>
                                <w:color w:val="595959"/>
                                <w:sz w:val="18"/>
                                <w:szCs w:val="18"/>
                              </w:rPr>
                              <w:t>and affiliated entities</w:t>
                            </w:r>
                            <w:r w:rsidRPr="006010BA">
                              <w:rPr>
                                <w:rFonts w:cs="Arial"/>
                                <w:color w:val="595959"/>
                                <w:sz w:val="18"/>
                                <w:szCs w:val="18"/>
                              </w:rPr>
                              <w:t xml:space="preserve"> must be </w:t>
                            </w:r>
                            <w:r w:rsidRPr="007F3A33">
                              <w:rPr>
                                <w:rFonts w:cs="Arial"/>
                                <w:color w:val="595959"/>
                                <w:sz w:val="18"/>
                                <w:szCs w:val="18"/>
                              </w:rPr>
                              <w:t>registered</w:t>
                            </w:r>
                            <w:r w:rsidRPr="006010BA">
                              <w:rPr>
                                <w:rFonts w:cs="Arial"/>
                                <w:b/>
                                <w:color w:val="595959"/>
                                <w:sz w:val="18"/>
                                <w:szCs w:val="18"/>
                              </w:rPr>
                              <w:t xml:space="preserve"> </w:t>
                            </w:r>
                            <w:r w:rsidRPr="006010BA">
                              <w:rPr>
                                <w:rFonts w:cs="Arial"/>
                                <w:color w:val="595959"/>
                                <w:sz w:val="18"/>
                                <w:szCs w:val="18"/>
                              </w:rPr>
                              <w:t>in the</w:t>
                            </w:r>
                            <w:r w:rsidRPr="006010BA">
                              <w:rPr>
                                <w:rFonts w:cs="Arial"/>
                                <w:sz w:val="18"/>
                                <w:szCs w:val="18"/>
                              </w:rPr>
                              <w:t xml:space="preserve"> </w:t>
                            </w:r>
                            <w:hyperlink r:id="rId28" w:history="1">
                              <w:r w:rsidRPr="00BE541E">
                                <w:rPr>
                                  <w:rStyle w:val="Hyperlink"/>
                                  <w:rFonts w:cs="Arial"/>
                                  <w:sz w:val="18"/>
                                  <w:szCs w:val="18"/>
                                </w:rPr>
                                <w:t>Participant Register</w:t>
                              </w:r>
                            </w:hyperlink>
                            <w:r w:rsidRPr="00A53E20">
                              <w:rPr>
                                <w:rFonts w:cs="Arial"/>
                                <w:color w:val="595959"/>
                                <w:sz w:val="18"/>
                                <w:szCs w:val="18"/>
                              </w:rPr>
                              <w:t xml:space="preserve">. </w:t>
                            </w:r>
                            <w:r>
                              <w:rPr>
                                <w:rFonts w:cs="Arial"/>
                                <w:color w:val="595959"/>
                                <w:sz w:val="18"/>
                                <w:szCs w:val="18"/>
                              </w:rPr>
                              <w:t>The</w:t>
                            </w:r>
                            <w:r w:rsidRPr="006010BA">
                              <w:rPr>
                                <w:rFonts w:cs="Arial"/>
                                <w:color w:val="595959"/>
                                <w:sz w:val="18"/>
                                <w:szCs w:val="18"/>
                              </w:rPr>
                              <w:t xml:space="preserve"> </w:t>
                            </w:r>
                            <w:r>
                              <w:rPr>
                                <w:rFonts w:cs="Arial"/>
                                <w:color w:val="595959"/>
                                <w:sz w:val="18"/>
                                <w:szCs w:val="18"/>
                              </w:rPr>
                              <w:t xml:space="preserve">participant </w:t>
                            </w:r>
                            <w:r w:rsidRPr="006010BA">
                              <w:rPr>
                                <w:rFonts w:cs="Arial"/>
                                <w:color w:val="595959"/>
                                <w:sz w:val="18"/>
                                <w:szCs w:val="18"/>
                              </w:rPr>
                              <w:t xml:space="preserve">identification code (PIC) (one </w:t>
                            </w:r>
                            <w:r>
                              <w:rPr>
                                <w:rFonts w:cs="Arial"/>
                                <w:color w:val="595959"/>
                                <w:sz w:val="18"/>
                                <w:szCs w:val="18"/>
                              </w:rPr>
                              <w:t>per participant</w:t>
                            </w:r>
                            <w:r w:rsidRPr="006010BA">
                              <w:rPr>
                                <w:rFonts w:cs="Arial"/>
                                <w:color w:val="595959"/>
                                <w:sz w:val="18"/>
                                <w:szCs w:val="18"/>
                              </w:rPr>
                              <w:t>)</w:t>
                            </w:r>
                            <w:r>
                              <w:rPr>
                                <w:rFonts w:cs="Arial"/>
                                <w:color w:val="595959"/>
                                <w:sz w:val="18"/>
                                <w:szCs w:val="18"/>
                              </w:rPr>
                              <w:t xml:space="preserve"> is mandatory for the application form</w:t>
                            </w:r>
                            <w:r w:rsidRPr="006010BA">
                              <w:rPr>
                                <w:rFonts w:cs="Arial"/>
                                <w:color w:val="595959"/>
                                <w:sz w:val="18"/>
                                <w:szCs w:val="18"/>
                              </w:rPr>
                              <w:t>.</w:t>
                            </w:r>
                            <w:r>
                              <w:rPr>
                                <w:rFonts w:cs="Arial"/>
                                <w:color w:val="595959"/>
                                <w:sz w:val="18"/>
                                <w:szCs w:val="18"/>
                              </w:rPr>
                              <w:t xml:space="preserve"> Associated partners can register later on (at the latest during the grant preparation stage).</w:t>
                            </w:r>
                            <w:r w:rsidRPr="006010BA">
                              <w:rPr>
                                <w:rFonts w:cs="Arial"/>
                                <w:color w:val="595959"/>
                                <w:sz w:val="18"/>
                                <w:szCs w:val="18"/>
                              </w:rPr>
                              <w:t xml:space="preserve"> </w:t>
                            </w:r>
                            <w:r w:rsidRPr="009C17C4">
                              <w:rPr>
                                <w:rFonts w:cs="Arial"/>
                                <w:color w:val="595959"/>
                                <w:sz w:val="18"/>
                                <w:szCs w:val="18"/>
                              </w:rPr>
                              <w:t xml:space="preserve">For validation, </w:t>
                            </w:r>
                            <w:r w:rsidRPr="00B81CFD">
                              <w:rPr>
                                <w:rFonts w:cs="Arial"/>
                                <w:color w:val="595959"/>
                                <w:sz w:val="18"/>
                                <w:szCs w:val="18"/>
                              </w:rPr>
                              <w:t xml:space="preserve">beneficiaries and affiliated entities </w:t>
                            </w:r>
                            <w:r w:rsidRPr="009C17C4">
                              <w:rPr>
                                <w:rFonts w:cs="Arial"/>
                                <w:color w:val="595959"/>
                                <w:sz w:val="18"/>
                                <w:szCs w:val="18"/>
                              </w:rPr>
                              <w:t xml:space="preserve">will be requested to upload the necessary documents showing </w:t>
                            </w:r>
                            <w:r>
                              <w:rPr>
                                <w:rFonts w:cs="Arial"/>
                                <w:color w:val="595959"/>
                                <w:sz w:val="18"/>
                                <w:szCs w:val="18"/>
                              </w:rPr>
                              <w:t xml:space="preserve">their </w:t>
                            </w:r>
                            <w:r w:rsidRPr="009C17C4">
                              <w:rPr>
                                <w:rFonts w:cs="Arial"/>
                                <w:color w:val="595959"/>
                                <w:sz w:val="18"/>
                                <w:szCs w:val="18"/>
                              </w:rPr>
                              <w:t xml:space="preserve">legal status and origin during </w:t>
                            </w:r>
                            <w:r>
                              <w:rPr>
                                <w:rFonts w:cs="Arial"/>
                                <w:color w:val="595959"/>
                                <w:sz w:val="18"/>
                                <w:szCs w:val="18"/>
                              </w:rPr>
                              <w:t xml:space="preserve">the </w:t>
                            </w:r>
                            <w:r w:rsidRPr="009C17C4">
                              <w:rPr>
                                <w:rFonts w:cs="Arial"/>
                                <w:color w:val="595959"/>
                                <w:sz w:val="18"/>
                                <w:szCs w:val="18"/>
                              </w:rPr>
                              <w:t>grant preparation</w:t>
                            </w:r>
                            <w:r>
                              <w:rPr>
                                <w:rFonts w:cs="Arial"/>
                                <w:color w:val="595959"/>
                                <w:sz w:val="18"/>
                                <w:szCs w:val="18"/>
                              </w:rPr>
                              <w:t xml:space="preserve"> stage</w:t>
                            </w:r>
                            <w:r w:rsidRPr="009C17C4">
                              <w:rPr>
                                <w:rFonts w:cs="Arial"/>
                                <w:color w:val="595959"/>
                                <w:sz w:val="18"/>
                                <w:szCs w:val="18"/>
                              </w:rPr>
                              <w:t>.</w:t>
                            </w:r>
                          </w:p>
                          <w:p w14:paraId="1996947A" w14:textId="0CF7CC83" w:rsidR="004746B1" w:rsidRPr="00B7081A" w:rsidRDefault="004746B1" w:rsidP="00C60BD6">
                            <w:pPr>
                              <w:numPr>
                                <w:ilvl w:val="0"/>
                                <w:numId w:val="11"/>
                              </w:numPr>
                              <w:spacing w:line="240" w:lineRule="auto"/>
                              <w:ind w:left="480" w:right="78"/>
                              <w:rPr>
                                <w:rFonts w:cs="Arial"/>
                                <w:iCs/>
                                <w:color w:val="595959"/>
                                <w:sz w:val="18"/>
                                <w:szCs w:val="18"/>
                              </w:rPr>
                            </w:pPr>
                            <w:r w:rsidRPr="00A53E20">
                              <w:rPr>
                                <w:rFonts w:cs="Arial"/>
                                <w:b/>
                                <w:iCs/>
                                <w:color w:val="595959"/>
                                <w:sz w:val="18"/>
                                <w:szCs w:val="18"/>
                              </w:rPr>
                              <w:t>Consortium roles</w:t>
                            </w:r>
                            <w:r>
                              <w:rPr>
                                <w:rFonts w:cs="Arial"/>
                                <w:iCs/>
                                <w:color w:val="595959"/>
                                <w:sz w:val="18"/>
                                <w:szCs w:val="18"/>
                              </w:rPr>
                              <w:t xml:space="preserve"> </w:t>
                            </w:r>
                            <w:r w:rsidRPr="006010BA">
                              <w:rPr>
                                <w:rFonts w:eastAsia="Calibri"/>
                                <w:b/>
                                <w:color w:val="595959"/>
                                <w:sz w:val="18"/>
                                <w:szCs w:val="18"/>
                              </w:rPr>
                              <w:t>—</w:t>
                            </w:r>
                            <w:r w:rsidRPr="00A53E20">
                              <w:rPr>
                                <w:rFonts w:eastAsia="Calibri"/>
                                <w:color w:val="595959"/>
                                <w:sz w:val="18"/>
                                <w:szCs w:val="18"/>
                              </w:rPr>
                              <w:t xml:space="preserve"> </w:t>
                            </w:r>
                            <w:r>
                              <w:rPr>
                                <w:rFonts w:eastAsia="Calibri"/>
                                <w:color w:val="595959"/>
                                <w:sz w:val="18"/>
                                <w:szCs w:val="18"/>
                              </w:rPr>
                              <w:t xml:space="preserve">When setting up the consortium, applicants should think of organisations that can help them </w:t>
                            </w:r>
                            <w:r w:rsidRPr="00A53E20">
                              <w:rPr>
                                <w:rFonts w:eastAsia="Calibri"/>
                                <w:color w:val="595959"/>
                                <w:sz w:val="18"/>
                                <w:szCs w:val="18"/>
                              </w:rPr>
                              <w:t>reach objectives and solve problems</w:t>
                            </w:r>
                            <w:r>
                              <w:rPr>
                                <w:rFonts w:eastAsia="Calibri"/>
                                <w:color w:val="595959"/>
                                <w:sz w:val="18"/>
                                <w:szCs w:val="18"/>
                              </w:rPr>
                              <w:t xml:space="preserve">. </w:t>
                            </w:r>
                          </w:p>
                          <w:p w14:paraId="40CABB73" w14:textId="29CA6229" w:rsidR="004746B1" w:rsidRPr="00862B39" w:rsidRDefault="004746B1" w:rsidP="00C60BD6">
                            <w:pPr>
                              <w:ind w:left="480" w:right="78"/>
                              <w:rPr>
                                <w:rFonts w:eastAsia="Calibri"/>
                                <w:color w:val="595959"/>
                                <w:sz w:val="18"/>
                                <w:szCs w:val="18"/>
                              </w:rPr>
                            </w:pPr>
                            <w:r>
                              <w:rPr>
                                <w:rFonts w:eastAsia="Calibri"/>
                                <w:color w:val="595959"/>
                                <w:sz w:val="18"/>
                                <w:szCs w:val="18"/>
                              </w:rPr>
                              <w:t xml:space="preserve">The roles should be attributed according to the degree of participation of each participant in the project. Main participants should participate as beneficiaries or affiliated entities; other entities can participate as </w:t>
                            </w:r>
                            <w:r w:rsidRPr="00862B39">
                              <w:rPr>
                                <w:rFonts w:eastAsia="Calibri"/>
                                <w:color w:val="595959"/>
                                <w:sz w:val="18"/>
                                <w:szCs w:val="18"/>
                              </w:rPr>
                              <w:t xml:space="preserve">associated partners, subcontractors, </w:t>
                            </w:r>
                            <w:r>
                              <w:rPr>
                                <w:rFonts w:eastAsia="Calibri"/>
                                <w:color w:val="595959"/>
                                <w:sz w:val="18"/>
                                <w:szCs w:val="18"/>
                              </w:rPr>
                              <w:t xml:space="preserve">or </w:t>
                            </w:r>
                            <w:r w:rsidRPr="00862B39">
                              <w:rPr>
                                <w:rFonts w:eastAsia="Calibri"/>
                                <w:color w:val="595959"/>
                                <w:sz w:val="18"/>
                                <w:szCs w:val="18"/>
                              </w:rPr>
                              <w:t>third parties giving i</w:t>
                            </w:r>
                            <w:r w:rsidRPr="006B6206">
                              <w:rPr>
                                <w:rFonts w:eastAsia="Calibri"/>
                                <w:color w:val="595959"/>
                                <w:sz w:val="18"/>
                                <w:szCs w:val="18"/>
                              </w:rPr>
                              <w:t>n-kind contributions. Associated partners and third parties giving in-kind contributions should bear their own costs (they will not become formal recipients of EU funding).</w:t>
                            </w:r>
                            <w:r w:rsidRPr="00862B39">
                              <w:rPr>
                                <w:rFonts w:eastAsia="Calibri"/>
                                <w:color w:val="595959"/>
                                <w:sz w:val="18"/>
                                <w:szCs w:val="18"/>
                              </w:rPr>
                              <w:t xml:space="preserve"> Subcontracting </w:t>
                            </w:r>
                            <w:r w:rsidRPr="006B6206">
                              <w:rPr>
                                <w:rFonts w:eastAsia="Calibri"/>
                                <w:color w:val="595959"/>
                                <w:sz w:val="18"/>
                                <w:szCs w:val="18"/>
                              </w:rPr>
                              <w:t>should normally constitute a limited part</w:t>
                            </w:r>
                            <w:r w:rsidRPr="00862B39">
                              <w:rPr>
                                <w:rFonts w:eastAsia="Calibri"/>
                                <w:color w:val="595959"/>
                                <w:sz w:val="18"/>
                                <w:szCs w:val="18"/>
                              </w:rPr>
                              <w:t xml:space="preserve"> and must be performed by third parties (not by one of the beneficiaries/affiliated entities, </w:t>
                            </w:r>
                            <w:r w:rsidRPr="00862B39">
                              <w:rPr>
                                <w:rFonts w:eastAsia="Calibri"/>
                                <w:i/>
                                <w:color w:val="595959"/>
                                <w:sz w:val="18"/>
                                <w:szCs w:val="18"/>
                              </w:rPr>
                              <w:t xml:space="preserve">see section </w:t>
                            </w:r>
                            <w:r>
                              <w:rPr>
                                <w:rFonts w:eastAsia="Calibri"/>
                                <w:i/>
                                <w:color w:val="595959"/>
                                <w:sz w:val="18"/>
                                <w:szCs w:val="18"/>
                              </w:rPr>
                              <w:t>G</w:t>
                            </w:r>
                            <w:r w:rsidRPr="00862B39">
                              <w:rPr>
                                <w:rFonts w:eastAsia="Calibri"/>
                                <w:color w:val="595959"/>
                                <w:sz w:val="18"/>
                                <w:szCs w:val="18"/>
                              </w:rPr>
                              <w:t>).</w:t>
                            </w:r>
                          </w:p>
                          <w:p w14:paraId="3C860E48" w14:textId="31C953DA" w:rsidR="004746B1" w:rsidRPr="00862B39" w:rsidRDefault="004746B1" w:rsidP="00C60BD6">
                            <w:pPr>
                              <w:numPr>
                                <w:ilvl w:val="0"/>
                                <w:numId w:val="11"/>
                              </w:numPr>
                              <w:spacing w:line="240" w:lineRule="auto"/>
                              <w:ind w:left="480" w:right="78"/>
                              <w:rPr>
                                <w:rFonts w:cs="Arial"/>
                                <w:iCs/>
                                <w:color w:val="595959"/>
                                <w:sz w:val="18"/>
                                <w:szCs w:val="18"/>
                              </w:rPr>
                            </w:pPr>
                            <w:r w:rsidRPr="00862B39">
                              <w:rPr>
                                <w:rFonts w:cs="Arial"/>
                                <w:b/>
                                <w:color w:val="595959"/>
                                <w:sz w:val="18"/>
                                <w:szCs w:val="18"/>
                              </w:rPr>
                              <w:t xml:space="preserve">Coordinator </w:t>
                            </w:r>
                            <w:r w:rsidRPr="00862B39">
                              <w:rPr>
                                <w:rFonts w:eastAsia="Calibri"/>
                                <w:b/>
                                <w:color w:val="595959"/>
                                <w:sz w:val="18"/>
                                <w:szCs w:val="18"/>
                              </w:rPr>
                              <w:t xml:space="preserve">— </w:t>
                            </w:r>
                            <w:r w:rsidRPr="00862B39">
                              <w:rPr>
                                <w:rFonts w:eastAsia="Calibri"/>
                                <w:color w:val="595959"/>
                                <w:sz w:val="18"/>
                                <w:szCs w:val="18"/>
                              </w:rPr>
                              <w:t xml:space="preserve">In multi-beneficiary grants, the beneficiaries participate as </w:t>
                            </w:r>
                            <w:r>
                              <w:rPr>
                                <w:rFonts w:eastAsia="Calibri"/>
                                <w:color w:val="595959"/>
                                <w:sz w:val="18"/>
                                <w:szCs w:val="18"/>
                              </w:rPr>
                              <w:t>a c</w:t>
                            </w:r>
                            <w:r w:rsidRPr="00862B39">
                              <w:rPr>
                                <w:rFonts w:eastAsia="Calibri"/>
                                <w:color w:val="595959"/>
                                <w:sz w:val="18"/>
                                <w:szCs w:val="18"/>
                              </w:rPr>
                              <w:t xml:space="preserve">onsortium (group of beneficiaries). They will have to choose a coordinator, who will </w:t>
                            </w:r>
                            <w:r>
                              <w:rPr>
                                <w:rFonts w:eastAsia="Calibri"/>
                                <w:color w:val="595959"/>
                                <w:sz w:val="18"/>
                                <w:szCs w:val="18"/>
                              </w:rPr>
                              <w:t>manage and coordinate</w:t>
                            </w:r>
                            <w:r w:rsidRPr="00862B39">
                              <w:rPr>
                                <w:rFonts w:eastAsia="Calibri"/>
                                <w:color w:val="595959"/>
                                <w:sz w:val="18"/>
                                <w:szCs w:val="18"/>
                              </w:rPr>
                              <w:t xml:space="preserve"> the project and will represent the consortium towards the granting authority. In mono-beneficiary grants, the single beneficiary will automatically be </w:t>
                            </w:r>
                            <w:r>
                              <w:rPr>
                                <w:rFonts w:eastAsia="Calibri"/>
                                <w:color w:val="595959"/>
                                <w:sz w:val="18"/>
                                <w:szCs w:val="18"/>
                              </w:rPr>
                              <w:t xml:space="preserve">the </w:t>
                            </w:r>
                            <w:r w:rsidRPr="00862B39">
                              <w:rPr>
                                <w:rFonts w:eastAsia="Calibri"/>
                                <w:color w:val="595959"/>
                                <w:sz w:val="18"/>
                                <w:szCs w:val="18"/>
                              </w:rPr>
                              <w:t>coordinator.</w:t>
                            </w:r>
                          </w:p>
                          <w:p w14:paraId="7DDEC262" w14:textId="77777777" w:rsidR="004746B1" w:rsidRPr="00862B39" w:rsidRDefault="004746B1" w:rsidP="00C60BD6">
                            <w:pPr>
                              <w:numPr>
                                <w:ilvl w:val="0"/>
                                <w:numId w:val="11"/>
                              </w:numPr>
                              <w:spacing w:line="240" w:lineRule="auto"/>
                              <w:ind w:left="480" w:right="78"/>
                              <w:rPr>
                                <w:rFonts w:eastAsia="Verdana" w:cs="Verdana"/>
                                <w:color w:val="595959"/>
                                <w:sz w:val="18"/>
                                <w:szCs w:val="18"/>
                                <w:lang w:val="en-US"/>
                              </w:rPr>
                            </w:pPr>
                            <w:r w:rsidRPr="006B6206">
                              <w:rPr>
                                <w:rFonts w:eastAsia="Verdana" w:cs="Verdana"/>
                                <w:b/>
                                <w:color w:val="595959"/>
                                <w:sz w:val="18"/>
                                <w:szCs w:val="18"/>
                              </w:rPr>
                              <w:t>Affiliated entities</w:t>
                            </w:r>
                            <w:r w:rsidRPr="00862B39">
                              <w:rPr>
                                <w:rFonts w:eastAsia="Verdana" w:cs="Verdana"/>
                                <w:b/>
                                <w:color w:val="595959"/>
                                <w:sz w:val="18"/>
                                <w:szCs w:val="18"/>
                                <w:lang w:val="en-US"/>
                              </w:rPr>
                              <w:t xml:space="preserve"> </w:t>
                            </w:r>
                            <w:r w:rsidRPr="00862B39">
                              <w:rPr>
                                <w:rFonts w:eastAsia="Calibri"/>
                                <w:color w:val="595959"/>
                                <w:sz w:val="18"/>
                                <w:szCs w:val="18"/>
                              </w:rPr>
                              <w:t xml:space="preserve">— </w:t>
                            </w:r>
                            <w:r w:rsidRPr="00862B39">
                              <w:rPr>
                                <w:rFonts w:eastAsia="Verdana" w:cs="Verdana"/>
                                <w:color w:val="595959"/>
                                <w:sz w:val="18"/>
                                <w:szCs w:val="18"/>
                                <w:lang w:val="en-US"/>
                              </w:rPr>
                              <w:t xml:space="preserve">Applicants may participate with affiliated entities. Affiliated entities will get a part of the </w:t>
                            </w:r>
                            <w:r>
                              <w:rPr>
                                <w:rFonts w:eastAsia="Verdana" w:cs="Verdana"/>
                                <w:color w:val="595959"/>
                                <w:sz w:val="18"/>
                                <w:szCs w:val="18"/>
                                <w:lang w:val="en-US"/>
                              </w:rPr>
                              <w:t>EU funding</w:t>
                            </w:r>
                            <w:r w:rsidRPr="00862B39">
                              <w:rPr>
                                <w:rFonts w:eastAsia="Verdana" w:cs="Verdana"/>
                                <w:color w:val="595959"/>
                                <w:sz w:val="18"/>
                                <w:szCs w:val="18"/>
                                <w:lang w:val="en-US"/>
                              </w:rPr>
                              <w:t xml:space="preserve"> and must therefore comply with all the call conditions (just like beneficiaries). But they </w:t>
                            </w:r>
                            <w:r w:rsidRPr="00862B39">
                              <w:rPr>
                                <w:color w:val="595959"/>
                                <w:sz w:val="18"/>
                                <w:szCs w:val="18"/>
                              </w:rPr>
                              <w:t>do</w:t>
                            </w:r>
                            <w:r w:rsidRPr="00862B39">
                              <w:rPr>
                                <w:rFonts w:eastAsia="Verdana" w:cs="Verdana"/>
                                <w:color w:val="595959"/>
                                <w:sz w:val="18"/>
                                <w:szCs w:val="18"/>
                                <w:lang w:val="en-US"/>
                              </w:rPr>
                              <w:t xml:space="preserve"> not sign the </w:t>
                            </w:r>
                            <w:r>
                              <w:rPr>
                                <w:rFonts w:eastAsia="Verdana" w:cs="Verdana"/>
                                <w:color w:val="595959"/>
                                <w:sz w:val="18"/>
                                <w:szCs w:val="18"/>
                                <w:lang w:val="en-US"/>
                              </w:rPr>
                              <w:t>g</w:t>
                            </w:r>
                            <w:r w:rsidRPr="00862B39">
                              <w:rPr>
                                <w:rFonts w:eastAsia="Verdana" w:cs="Verdana"/>
                                <w:color w:val="595959"/>
                                <w:sz w:val="18"/>
                                <w:szCs w:val="18"/>
                                <w:lang w:val="en-US"/>
                              </w:rPr>
                              <w:t xml:space="preserve">rant </w:t>
                            </w:r>
                            <w:r>
                              <w:rPr>
                                <w:rFonts w:eastAsia="Verdana" w:cs="Verdana"/>
                                <w:color w:val="595959"/>
                                <w:sz w:val="18"/>
                                <w:szCs w:val="18"/>
                                <w:lang w:val="en-US"/>
                              </w:rPr>
                              <w:t>a</w:t>
                            </w:r>
                            <w:r w:rsidRPr="00862B39">
                              <w:rPr>
                                <w:rFonts w:eastAsia="Verdana" w:cs="Verdana"/>
                                <w:color w:val="595959"/>
                                <w:sz w:val="18"/>
                                <w:szCs w:val="18"/>
                                <w:lang w:val="en-US"/>
                              </w:rPr>
                              <w:t>greement</w:t>
                            </w:r>
                            <w:r w:rsidRPr="00862B39">
                              <w:rPr>
                                <w:color w:val="595959"/>
                                <w:sz w:val="18"/>
                                <w:szCs w:val="18"/>
                              </w:rPr>
                              <w:t xml:space="preserve"> and do not count towards the minimum eligibility criteria for consortium composition (if any).</w:t>
                            </w:r>
                          </w:p>
                          <w:p w14:paraId="65D42ED2" w14:textId="05E37284" w:rsidR="004746B1" w:rsidRPr="00A53E20" w:rsidRDefault="004746B1" w:rsidP="00C60BD6">
                            <w:pPr>
                              <w:numPr>
                                <w:ilvl w:val="0"/>
                                <w:numId w:val="11"/>
                              </w:numPr>
                              <w:spacing w:line="240" w:lineRule="auto"/>
                              <w:ind w:left="480" w:right="78"/>
                              <w:rPr>
                                <w:rFonts w:eastAsia="Verdana" w:cs="Verdana"/>
                                <w:color w:val="595959"/>
                                <w:sz w:val="18"/>
                                <w:szCs w:val="18"/>
                                <w:lang w:val="en-US"/>
                              </w:rPr>
                            </w:pPr>
                            <w:r w:rsidRPr="006B6206">
                              <w:rPr>
                                <w:rFonts w:eastAsia="Verdana" w:cs="Verdana"/>
                                <w:b/>
                                <w:color w:val="595959"/>
                                <w:sz w:val="18"/>
                                <w:szCs w:val="18"/>
                              </w:rPr>
                              <w:t>Associated partners</w:t>
                            </w:r>
                            <w:r w:rsidRPr="00862B39">
                              <w:rPr>
                                <w:rFonts w:eastAsia="Verdana" w:cs="Verdana"/>
                                <w:b/>
                                <w:color w:val="595959"/>
                                <w:sz w:val="18"/>
                                <w:szCs w:val="18"/>
                                <w:lang w:val="en-US"/>
                              </w:rPr>
                              <w:t xml:space="preserve"> </w:t>
                            </w:r>
                            <w:r w:rsidRPr="00862B39">
                              <w:rPr>
                                <w:rFonts w:eastAsia="Calibri"/>
                                <w:color w:val="595959"/>
                                <w:sz w:val="18"/>
                                <w:szCs w:val="18"/>
                              </w:rPr>
                              <w:t xml:space="preserve">— </w:t>
                            </w:r>
                            <w:r w:rsidRPr="00862B39">
                              <w:rPr>
                                <w:rFonts w:eastAsia="Verdana" w:cs="Verdana"/>
                                <w:color w:val="595959"/>
                                <w:sz w:val="18"/>
                                <w:szCs w:val="18"/>
                                <w:lang w:val="en-US"/>
                              </w:rPr>
                              <w:t>Applicants</w:t>
                            </w:r>
                            <w:r w:rsidRPr="00072FAA">
                              <w:rPr>
                                <w:rFonts w:eastAsia="Verdana" w:cs="Verdana"/>
                                <w:color w:val="595959"/>
                                <w:sz w:val="18"/>
                                <w:szCs w:val="18"/>
                                <w:lang w:val="en-US"/>
                              </w:rPr>
                              <w:t xml:space="preserve"> may participate with </w:t>
                            </w:r>
                            <w:r>
                              <w:rPr>
                                <w:rFonts w:eastAsia="Verdana" w:cs="Verdana"/>
                                <w:color w:val="595959"/>
                                <w:sz w:val="18"/>
                                <w:szCs w:val="18"/>
                                <w:lang w:val="en-US"/>
                              </w:rPr>
                              <w:t>associated partners</w:t>
                            </w:r>
                            <w:r w:rsidRPr="00072FAA">
                              <w:rPr>
                                <w:rFonts w:eastAsia="Verdana" w:cs="Verdana"/>
                                <w:color w:val="595959"/>
                                <w:sz w:val="18"/>
                                <w:szCs w:val="18"/>
                                <w:lang w:val="en-US"/>
                              </w:rPr>
                              <w:t xml:space="preserve">. </w:t>
                            </w:r>
                            <w:r>
                              <w:rPr>
                                <w:rFonts w:eastAsia="Verdana" w:cs="Verdana"/>
                                <w:color w:val="595959"/>
                                <w:sz w:val="18"/>
                                <w:szCs w:val="18"/>
                                <w:lang w:val="en-US"/>
                              </w:rPr>
                              <w:t>They participate without funding and without signing the grant agreement and therefore do not need to be validated</w:t>
                            </w:r>
                            <w:r w:rsidRPr="00072FAA">
                              <w:rPr>
                                <w:color w:val="595959"/>
                                <w:sz w:val="18"/>
                                <w:szCs w:val="18"/>
                              </w:rPr>
                              <w:t>.</w:t>
                            </w:r>
                          </w:p>
                          <w:p w14:paraId="18152CFF" w14:textId="32DEC5C3" w:rsidR="004746B1" w:rsidRPr="00072FAA" w:rsidRDefault="004746B1" w:rsidP="00C60BD6">
                            <w:pPr>
                              <w:numPr>
                                <w:ilvl w:val="0"/>
                                <w:numId w:val="11"/>
                              </w:numPr>
                              <w:spacing w:line="240" w:lineRule="auto"/>
                              <w:ind w:left="480" w:right="78"/>
                              <w:rPr>
                                <w:rFonts w:eastAsia="Verdana" w:cs="Verdana"/>
                                <w:color w:val="595959"/>
                                <w:sz w:val="18"/>
                                <w:szCs w:val="18"/>
                                <w:lang w:val="en-US"/>
                              </w:rPr>
                            </w:pPr>
                            <w:r>
                              <w:rPr>
                                <w:rFonts w:eastAsia="Verdana" w:cs="Verdana"/>
                                <w:b/>
                                <w:color w:val="595959"/>
                                <w:sz w:val="18"/>
                                <w:szCs w:val="18"/>
                              </w:rPr>
                              <w:t xml:space="preserve">Consortium agreement </w:t>
                            </w:r>
                            <w:r w:rsidRPr="00072FAA">
                              <w:rPr>
                                <w:rFonts w:eastAsia="Calibri"/>
                                <w:color w:val="595959"/>
                                <w:sz w:val="18"/>
                                <w:szCs w:val="18"/>
                              </w:rPr>
                              <w:t>—</w:t>
                            </w:r>
                            <w:r>
                              <w:rPr>
                                <w:rFonts w:eastAsia="Calibri"/>
                                <w:color w:val="595959"/>
                                <w:sz w:val="18"/>
                                <w:szCs w:val="18"/>
                              </w:rPr>
                              <w:t xml:space="preserve"> For practical and legal reasons, it is recommended to set up internal arrangements that allow the consortium to deal with exceptional or unforeseen circumstances (in all cases, even if not mandatory under the grant agreement). The consortium agreement also gives the possibility to redistribute </w:t>
                            </w:r>
                            <w:r w:rsidRPr="003D177E">
                              <w:rPr>
                                <w:rFonts w:eastAsia="Calibri"/>
                                <w:color w:val="595959"/>
                                <w:sz w:val="18"/>
                                <w:szCs w:val="18"/>
                              </w:rPr>
                              <w:t>the E</w:t>
                            </w:r>
                            <w:r>
                              <w:rPr>
                                <w:rFonts w:eastAsia="Calibri"/>
                                <w:color w:val="595959"/>
                                <w:sz w:val="18"/>
                                <w:szCs w:val="18"/>
                              </w:rPr>
                              <w:t xml:space="preserve">U funding according to internal consortium principles and arrangements (for instance, </w:t>
                            </w:r>
                            <w:r w:rsidRPr="00B23708">
                              <w:rPr>
                                <w:rFonts w:eastAsia="Calibri"/>
                                <w:color w:val="595959"/>
                                <w:sz w:val="18"/>
                                <w:szCs w:val="18"/>
                              </w:rPr>
                              <w:t>one</w:t>
                            </w:r>
                            <w:r w:rsidRPr="00B23708">
                              <w:rPr>
                                <w:rFonts w:eastAsia="Calibri"/>
                                <w:color w:val="FF0000"/>
                                <w:sz w:val="18"/>
                                <w:szCs w:val="18"/>
                              </w:rPr>
                              <w:t xml:space="preserve"> </w:t>
                            </w:r>
                            <w:r w:rsidRPr="00B23708">
                              <w:rPr>
                                <w:rFonts w:eastAsia="Calibri"/>
                                <w:color w:val="595959"/>
                                <w:sz w:val="18"/>
                                <w:szCs w:val="18"/>
                              </w:rPr>
                              <w:t xml:space="preserve">beneficiary can reattribute </w:t>
                            </w:r>
                            <w:r>
                              <w:rPr>
                                <w:rFonts w:eastAsia="Calibri"/>
                                <w:color w:val="595959"/>
                                <w:sz w:val="18"/>
                                <w:szCs w:val="18"/>
                              </w:rPr>
                              <w:t>their</w:t>
                            </w:r>
                            <w:r w:rsidRPr="00B23708">
                              <w:rPr>
                                <w:rFonts w:eastAsia="Calibri"/>
                                <w:color w:val="595959"/>
                                <w:sz w:val="18"/>
                                <w:szCs w:val="18"/>
                              </w:rPr>
                              <w:t xml:space="preserve"> grant share to another beneficiary</w:t>
                            </w:r>
                            <w:r>
                              <w:rPr>
                                <w:rFonts w:eastAsia="Calibri"/>
                                <w:color w:val="595959"/>
                                <w:sz w:val="18"/>
                                <w:szCs w:val="18"/>
                              </w:rPr>
                              <w:t>). The consortium agreement thus allows the grant to be customised to the needs of the consortium and can also help to protect the members in case of disputes. Consortium agreements are not required for mono-beneficiary projects.</w:t>
                            </w:r>
                          </w:p>
                          <w:p w14:paraId="7F6BEC07" w14:textId="35B5612B" w:rsidR="004746B1" w:rsidRPr="003C4AAA" w:rsidRDefault="004746B1" w:rsidP="00C60BD6">
                            <w:pPr>
                              <w:numPr>
                                <w:ilvl w:val="0"/>
                                <w:numId w:val="11"/>
                              </w:numPr>
                              <w:spacing w:line="240" w:lineRule="auto"/>
                              <w:ind w:left="480" w:right="78"/>
                              <w:rPr>
                                <w:rFonts w:cs="Arial"/>
                                <w:color w:val="595959"/>
                                <w:sz w:val="18"/>
                                <w:szCs w:val="18"/>
                                <w:lang w:val="en-US"/>
                              </w:rPr>
                            </w:pPr>
                            <w:r w:rsidRPr="003C4AAA">
                              <w:rPr>
                                <w:rFonts w:cs="Arial"/>
                                <w:b/>
                                <w:color w:val="595959"/>
                                <w:sz w:val="18"/>
                                <w:szCs w:val="18"/>
                              </w:rPr>
                              <w:t>Completed/ongoing projects</w:t>
                            </w:r>
                            <w:r w:rsidRPr="003C4AAA">
                              <w:rPr>
                                <w:rFonts w:cs="Arial"/>
                                <w:color w:val="595959"/>
                                <w:sz w:val="18"/>
                                <w:szCs w:val="18"/>
                              </w:rPr>
                              <w:t xml:space="preserve"> </w:t>
                            </w:r>
                            <w:r w:rsidRPr="003C4AAA">
                              <w:rPr>
                                <w:rFonts w:cs="Arial"/>
                                <w:b/>
                                <w:color w:val="595959"/>
                                <w:sz w:val="18"/>
                                <w:szCs w:val="18"/>
                              </w:rPr>
                              <w:t xml:space="preserve">— </w:t>
                            </w:r>
                            <w:r>
                              <w:rPr>
                                <w:rFonts w:cs="Arial"/>
                                <w:color w:val="595959"/>
                                <w:sz w:val="18"/>
                                <w:szCs w:val="18"/>
                              </w:rPr>
                              <w:t>Application</w:t>
                            </w:r>
                            <w:r w:rsidRPr="003C4AAA">
                              <w:rPr>
                                <w:rFonts w:cs="Arial"/>
                                <w:color w:val="595959"/>
                                <w:sz w:val="18"/>
                                <w:szCs w:val="18"/>
                              </w:rPr>
                              <w:t>s for projects that</w:t>
                            </w:r>
                            <w:r w:rsidRPr="003C4AAA">
                              <w:rPr>
                                <w:rFonts w:cs="Arial"/>
                                <w:color w:val="595959"/>
                                <w:sz w:val="18"/>
                                <w:szCs w:val="18"/>
                                <w:lang w:val="en-US"/>
                              </w:rPr>
                              <w:t xml:space="preserve"> have already been completed will be rejected</w:t>
                            </w:r>
                            <w:r>
                              <w:rPr>
                                <w:rFonts w:cs="Arial"/>
                                <w:color w:val="595959"/>
                                <w:sz w:val="18"/>
                                <w:szCs w:val="18"/>
                                <w:lang w:val="en-US"/>
                              </w:rPr>
                              <w:t>.</w:t>
                            </w:r>
                            <w:r w:rsidRPr="003C4AAA">
                              <w:rPr>
                                <w:rFonts w:cs="Arial"/>
                                <w:color w:val="595959"/>
                                <w:sz w:val="18"/>
                                <w:szCs w:val="18"/>
                                <w:lang w:val="en-US"/>
                              </w:rPr>
                              <w:t xml:space="preserve"> </w:t>
                            </w:r>
                            <w:r>
                              <w:rPr>
                                <w:rFonts w:cs="Arial"/>
                                <w:color w:val="595959"/>
                                <w:sz w:val="18"/>
                                <w:szCs w:val="18"/>
                                <w:lang w:val="en-US"/>
                              </w:rPr>
                              <w:t>Application</w:t>
                            </w:r>
                            <w:r w:rsidRPr="003C4AAA">
                              <w:rPr>
                                <w:rFonts w:cs="Arial"/>
                                <w:color w:val="595959"/>
                                <w:sz w:val="18"/>
                                <w:szCs w:val="18"/>
                                <w:lang w:val="en-US"/>
                              </w:rPr>
                              <w:t xml:space="preserve">s for projects that have already started will be assessed on a case-by-case basis (in </w:t>
                            </w:r>
                            <w:r>
                              <w:rPr>
                                <w:rFonts w:cs="Arial"/>
                                <w:color w:val="595959"/>
                                <w:sz w:val="18"/>
                                <w:szCs w:val="18"/>
                                <w:lang w:val="en-US"/>
                              </w:rPr>
                              <w:t>such</w:t>
                            </w:r>
                            <w:r w:rsidRPr="003C4AAA">
                              <w:rPr>
                                <w:rFonts w:cs="Arial"/>
                                <w:color w:val="595959"/>
                                <w:sz w:val="18"/>
                                <w:szCs w:val="18"/>
                                <w:lang w:val="en-US"/>
                              </w:rPr>
                              <w:t xml:space="preserve"> case</w:t>
                            </w:r>
                            <w:r>
                              <w:rPr>
                                <w:rFonts w:cs="Arial"/>
                                <w:color w:val="595959"/>
                                <w:sz w:val="18"/>
                                <w:szCs w:val="18"/>
                                <w:lang w:val="en-US"/>
                              </w:rPr>
                              <w:t>s</w:t>
                            </w:r>
                            <w:r w:rsidRPr="003C4AAA">
                              <w:rPr>
                                <w:rFonts w:cs="Arial"/>
                                <w:color w:val="595959"/>
                                <w:sz w:val="18"/>
                                <w:szCs w:val="18"/>
                                <w:lang w:val="en-US"/>
                              </w:rPr>
                              <w:t xml:space="preserve">, no costs can be reimbursed for activities that took place before </w:t>
                            </w:r>
                            <w:r>
                              <w:rPr>
                                <w:rFonts w:cs="Arial"/>
                                <w:color w:val="595959"/>
                                <w:sz w:val="18"/>
                                <w:szCs w:val="18"/>
                                <w:lang w:val="en-US"/>
                              </w:rPr>
                              <w:t>the application</w:t>
                            </w:r>
                            <w:r w:rsidRPr="003C4AAA">
                              <w:rPr>
                                <w:rFonts w:cs="Arial"/>
                                <w:color w:val="595959"/>
                                <w:sz w:val="18"/>
                                <w:szCs w:val="18"/>
                                <w:lang w:val="en-US"/>
                              </w:rPr>
                              <w:t xml:space="preserve"> </w:t>
                            </w:r>
                            <w:r>
                              <w:rPr>
                                <w:rFonts w:cs="Arial"/>
                                <w:color w:val="595959"/>
                                <w:sz w:val="18"/>
                                <w:szCs w:val="18"/>
                                <w:lang w:val="en-US"/>
                              </w:rPr>
                              <w:t xml:space="preserve">was </w:t>
                            </w:r>
                            <w:r w:rsidRPr="003C4AAA">
                              <w:rPr>
                                <w:rFonts w:cs="Arial"/>
                                <w:color w:val="595959"/>
                                <w:sz w:val="18"/>
                                <w:szCs w:val="18"/>
                                <w:lang w:val="en-US"/>
                              </w:rPr>
                              <w:t>submi</w:t>
                            </w:r>
                            <w:r>
                              <w:rPr>
                                <w:rFonts w:cs="Arial"/>
                                <w:color w:val="595959"/>
                                <w:sz w:val="18"/>
                                <w:szCs w:val="18"/>
                                <w:lang w:val="en-US"/>
                              </w:rPr>
                              <w:t>tted</w:t>
                            </w:r>
                            <w:r w:rsidRPr="003C4AAA">
                              <w:rPr>
                                <w:rFonts w:cs="Arial"/>
                                <w:color w:val="595959"/>
                                <w:sz w:val="18"/>
                                <w:szCs w:val="18"/>
                                <w:lang w:val="en-US"/>
                              </w:rPr>
                              <w:t>).</w:t>
                            </w:r>
                          </w:p>
                          <w:p w14:paraId="6A4ACDFD" w14:textId="77777777" w:rsidR="004746B1" w:rsidRPr="002B5DFF" w:rsidRDefault="004746B1" w:rsidP="00C60BD6">
                            <w:pPr>
                              <w:ind w:right="79"/>
                              <w:rPr>
                                <w:rFonts w:cs="Arial"/>
                                <w:color w:val="595959"/>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7F87A" id="Text Box 39" o:spid="_x0000_s1027" type="#_x0000_t202" style="position:absolute;left:0;text-align:left;margin-left:8.65pt;margin-top:3.1pt;width:430.95pt;height:58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" fillcolor="#f2f2f2" strokecolor="#bfbfbf" strokeweight="1.5pt">
                <v:textbox>
                  <w:txbxContent>
                    <w:p w14:paraId="08B53F94" w14:textId="77777777" w:rsidR="004746B1" w:rsidRPr="006010BA" w:rsidRDefault="004746B1" w:rsidP="00C60BD6">
                      <w:pPr>
                        <w:pStyle w:val="Text1"/>
                        <w:spacing w:before="120" w:after="120"/>
                        <w:ind w:left="0"/>
                        <w:rPr>
                          <w:rFonts w:cs="Arial"/>
                          <w:color w:val="F79646"/>
                          <w:sz w:val="16"/>
                          <w:szCs w:val="18"/>
                        </w:rPr>
                      </w:pPr>
                      <w:r>
                        <w:rPr>
                          <w:rFonts w:cs="Arial"/>
                          <w:noProof/>
                          <w:color w:val="7F7F7F"/>
                          <w:sz w:val="18"/>
                          <w:szCs w:val="21"/>
                          <w:lang w:eastAsia="en-GB"/>
                        </w:rPr>
                        <w:drawing>
                          <wp:inline distT="0" distB="0" distL="0" distR="0" wp14:anchorId="52CD5014" wp14:editId="2986020F">
                            <wp:extent cx="177165" cy="177165"/>
                            <wp:effectExtent l="0" t="0" r="0" b="0"/>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arn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6010BA">
                        <w:rPr>
                          <w:noProof/>
                          <w:sz w:val="18"/>
                          <w:szCs w:val="18"/>
                          <w:lang w:eastAsia="en-GB"/>
                        </w:rPr>
                        <w:t xml:space="preserve"> </w:t>
                      </w:r>
                      <w:r w:rsidRPr="00F14350">
                        <w:rPr>
                          <w:rFonts w:cs="Arial"/>
                          <w:b/>
                          <w:color w:val="595959"/>
                          <w:sz w:val="18"/>
                          <w:szCs w:val="18"/>
                        </w:rPr>
                        <w:t xml:space="preserve">IMPORTANT </w:t>
                      </w:r>
                    </w:p>
                    <w:p w14:paraId="2C54D1E1" w14:textId="61A430D6" w:rsidR="004746B1" w:rsidRPr="00A53E20" w:rsidRDefault="004746B1" w:rsidP="00C60BD6">
                      <w:pPr>
                        <w:numPr>
                          <w:ilvl w:val="0"/>
                          <w:numId w:val="11"/>
                        </w:numPr>
                        <w:spacing w:after="120" w:line="240" w:lineRule="auto"/>
                        <w:ind w:left="480" w:right="79"/>
                        <w:rPr>
                          <w:color w:val="595959"/>
                          <w:sz w:val="18"/>
                          <w:szCs w:val="18"/>
                        </w:rPr>
                      </w:pPr>
                      <w:r w:rsidRPr="00A53E20">
                        <w:rPr>
                          <w:b/>
                          <w:color w:val="595959"/>
                          <w:sz w:val="18"/>
                        </w:rPr>
                        <w:t>Do</w:t>
                      </w:r>
                      <w:r>
                        <w:rPr>
                          <w:b/>
                          <w:color w:val="595959"/>
                          <w:sz w:val="18"/>
                        </w:rPr>
                        <w:t xml:space="preserve"> </w:t>
                      </w:r>
                      <w:r w:rsidRPr="00A53E20">
                        <w:rPr>
                          <w:b/>
                          <w:color w:val="595959"/>
                          <w:sz w:val="18"/>
                        </w:rPr>
                        <w:t>n</w:t>
                      </w:r>
                      <w:r>
                        <w:rPr>
                          <w:b/>
                          <w:color w:val="595959"/>
                          <w:sz w:val="18"/>
                        </w:rPr>
                        <w:t>o</w:t>
                      </w:r>
                      <w:r w:rsidRPr="00A53E20">
                        <w:rPr>
                          <w:b/>
                          <w:color w:val="595959"/>
                          <w:sz w:val="18"/>
                        </w:rPr>
                        <w:t>t wait</w:t>
                      </w:r>
                      <w:r w:rsidRPr="00A53E20">
                        <w:rPr>
                          <w:color w:val="595959"/>
                          <w:sz w:val="18"/>
                        </w:rPr>
                        <w:t xml:space="preserve"> </w:t>
                      </w:r>
                      <w:r w:rsidRPr="00A53E20">
                        <w:rPr>
                          <w:rFonts w:eastAsia="Calibri"/>
                          <w:b/>
                          <w:color w:val="595959"/>
                          <w:sz w:val="18"/>
                          <w:szCs w:val="18"/>
                        </w:rPr>
                        <w:t>until</w:t>
                      </w:r>
                      <w:r w:rsidRPr="00A53E20">
                        <w:rPr>
                          <w:b/>
                          <w:color w:val="595959"/>
                          <w:sz w:val="18"/>
                        </w:rPr>
                        <w:t xml:space="preserve"> the end</w:t>
                      </w:r>
                      <w:r>
                        <w:rPr>
                          <w:color w:val="595959"/>
                          <w:sz w:val="18"/>
                        </w:rPr>
                        <w:t xml:space="preserve"> </w:t>
                      </w:r>
                      <w:r w:rsidRPr="00A53E20">
                        <w:rPr>
                          <w:rFonts w:eastAsia="Calibri"/>
                          <w:b/>
                          <w:color w:val="595959"/>
                          <w:sz w:val="18"/>
                          <w:szCs w:val="18"/>
                        </w:rPr>
                        <w:t>—</w:t>
                      </w:r>
                      <w:r w:rsidRPr="00A53E20">
                        <w:rPr>
                          <w:color w:val="595959"/>
                          <w:sz w:val="18"/>
                        </w:rPr>
                        <w:t xml:space="preserve"> Complete </w:t>
                      </w:r>
                      <w:r>
                        <w:rPr>
                          <w:color w:val="595959"/>
                          <w:sz w:val="18"/>
                        </w:rPr>
                        <w:t>the</w:t>
                      </w:r>
                      <w:r w:rsidRPr="00A53E20">
                        <w:rPr>
                          <w:color w:val="595959"/>
                          <w:sz w:val="18"/>
                        </w:rPr>
                        <w:t xml:space="preserve"> </w:t>
                      </w:r>
                      <w:r>
                        <w:rPr>
                          <w:color w:val="595959"/>
                          <w:sz w:val="18"/>
                        </w:rPr>
                        <w:t>application</w:t>
                      </w:r>
                      <w:r w:rsidRPr="00A53E20">
                        <w:rPr>
                          <w:color w:val="595959"/>
                          <w:sz w:val="18"/>
                        </w:rPr>
                        <w:t xml:space="preserve"> sufficiently in advance of the deadline to avoid any last minute </w:t>
                      </w:r>
                      <w:r w:rsidRPr="00A53E20">
                        <w:rPr>
                          <w:b/>
                          <w:color w:val="595959"/>
                          <w:sz w:val="18"/>
                        </w:rPr>
                        <w:t>technical problems</w:t>
                      </w:r>
                      <w:r w:rsidRPr="00A53E20">
                        <w:rPr>
                          <w:color w:val="595959"/>
                          <w:sz w:val="18"/>
                        </w:rPr>
                        <w:t>. Problems due to last</w:t>
                      </w:r>
                      <w:r>
                        <w:rPr>
                          <w:color w:val="595959"/>
                          <w:sz w:val="18"/>
                        </w:rPr>
                        <w:t>-</w:t>
                      </w:r>
                      <w:r w:rsidRPr="00A53E20">
                        <w:rPr>
                          <w:color w:val="595959"/>
                          <w:sz w:val="18"/>
                        </w:rPr>
                        <w:t xml:space="preserve">minute submissions </w:t>
                      </w:r>
                      <w:r w:rsidRPr="00A53E20">
                        <w:rPr>
                          <w:i/>
                          <w:color w:val="595959"/>
                          <w:sz w:val="18"/>
                        </w:rPr>
                        <w:t>(e.g. congestion, etc.)</w:t>
                      </w:r>
                      <w:r w:rsidRPr="00A53E20">
                        <w:rPr>
                          <w:color w:val="595959"/>
                          <w:sz w:val="18"/>
                        </w:rPr>
                        <w:t xml:space="preserve"> will be entirely at </w:t>
                      </w:r>
                      <w:r>
                        <w:rPr>
                          <w:color w:val="595959"/>
                          <w:sz w:val="18"/>
                        </w:rPr>
                        <w:t xml:space="preserve">applicants’ own </w:t>
                      </w:r>
                      <w:r w:rsidRPr="00A53E20">
                        <w:rPr>
                          <w:color w:val="595959"/>
                          <w:sz w:val="18"/>
                        </w:rPr>
                        <w:t xml:space="preserve">risk. Call </w:t>
                      </w:r>
                      <w:r w:rsidRPr="00A53E20">
                        <w:rPr>
                          <w:color w:val="595959"/>
                          <w:sz w:val="18"/>
                          <w:szCs w:val="18"/>
                        </w:rPr>
                        <w:t>deadlines can NOT be extended</w:t>
                      </w:r>
                      <w:r>
                        <w:rPr>
                          <w:color w:val="595959"/>
                          <w:sz w:val="18"/>
                          <w:szCs w:val="18"/>
                        </w:rPr>
                        <w:t xml:space="preserve"> at the request of applicants</w:t>
                      </w:r>
                      <w:r w:rsidRPr="00A53E20">
                        <w:rPr>
                          <w:color w:val="595959"/>
                          <w:sz w:val="18"/>
                          <w:szCs w:val="18"/>
                        </w:rPr>
                        <w:t>.</w:t>
                      </w:r>
                    </w:p>
                    <w:p w14:paraId="4D0478A8" w14:textId="72F276DA" w:rsidR="004746B1" w:rsidRPr="00085C68" w:rsidRDefault="004746B1" w:rsidP="00C60BD6">
                      <w:pPr>
                        <w:numPr>
                          <w:ilvl w:val="0"/>
                          <w:numId w:val="11"/>
                        </w:numPr>
                        <w:spacing w:line="240" w:lineRule="auto"/>
                        <w:ind w:left="480" w:right="79"/>
                        <w:rPr>
                          <w:color w:val="595959"/>
                          <w:sz w:val="16"/>
                          <w:szCs w:val="18"/>
                        </w:rPr>
                      </w:pPr>
                      <w:r w:rsidRPr="00085C68">
                        <w:rPr>
                          <w:rFonts w:cs="Arial"/>
                          <w:b/>
                          <w:color w:val="595959"/>
                          <w:sz w:val="18"/>
                        </w:rPr>
                        <w:t>Consult</w:t>
                      </w:r>
                      <w:r w:rsidRPr="00085C68">
                        <w:rPr>
                          <w:rFonts w:cs="Arial"/>
                          <w:color w:val="595959"/>
                          <w:sz w:val="18"/>
                        </w:rPr>
                        <w:t xml:space="preserve"> the </w:t>
                      </w:r>
                      <w:r>
                        <w:rPr>
                          <w:rFonts w:eastAsia="Calibri"/>
                          <w:color w:val="595959"/>
                          <w:sz w:val="18"/>
                          <w:szCs w:val="18"/>
                        </w:rPr>
                        <w:t>t</w:t>
                      </w:r>
                      <w:r w:rsidRPr="00A53E20">
                        <w:rPr>
                          <w:rFonts w:eastAsia="Calibri"/>
                          <w:color w:val="595959"/>
                          <w:sz w:val="18"/>
                          <w:szCs w:val="18"/>
                        </w:rPr>
                        <w:t xml:space="preserve">opic page </w:t>
                      </w:r>
                      <w:r>
                        <w:rPr>
                          <w:rFonts w:eastAsia="Calibri"/>
                          <w:color w:val="595959"/>
                          <w:sz w:val="18"/>
                          <w:szCs w:val="18"/>
                        </w:rPr>
                        <w:t xml:space="preserve">on the Portal </w:t>
                      </w:r>
                      <w:r w:rsidRPr="00A53E20">
                        <w:rPr>
                          <w:rFonts w:eastAsia="Calibri"/>
                          <w:color w:val="595959"/>
                          <w:sz w:val="18"/>
                          <w:szCs w:val="18"/>
                        </w:rPr>
                        <w:t xml:space="preserve">regularly. </w:t>
                      </w:r>
                      <w:r>
                        <w:rPr>
                          <w:rFonts w:eastAsia="Calibri"/>
                          <w:color w:val="595959"/>
                          <w:sz w:val="18"/>
                          <w:szCs w:val="18"/>
                        </w:rPr>
                        <w:t>The granting authority</w:t>
                      </w:r>
                      <w:r w:rsidRPr="00A53E20">
                        <w:rPr>
                          <w:rFonts w:eastAsia="Calibri"/>
                          <w:color w:val="595959"/>
                          <w:sz w:val="18"/>
                          <w:szCs w:val="18"/>
                        </w:rPr>
                        <w:t xml:space="preserve"> will use it to publish updates and additional info</w:t>
                      </w:r>
                      <w:r w:rsidRPr="00085C68">
                        <w:rPr>
                          <w:rFonts w:cs="Arial"/>
                          <w:color w:val="595959"/>
                          <w:sz w:val="18"/>
                        </w:rPr>
                        <w:t>rmation on the call (</w:t>
                      </w:r>
                      <w:r>
                        <w:rPr>
                          <w:rFonts w:cs="Arial"/>
                          <w:color w:val="595959"/>
                          <w:sz w:val="18"/>
                        </w:rPr>
                        <w:t>call</w:t>
                      </w:r>
                      <w:r w:rsidRPr="00085C68">
                        <w:rPr>
                          <w:rFonts w:cs="Arial"/>
                          <w:color w:val="595959"/>
                          <w:sz w:val="18"/>
                        </w:rPr>
                        <w:t xml:space="preserve"> updates).</w:t>
                      </w:r>
                    </w:p>
                    <w:p w14:paraId="3F95AFA8" w14:textId="14CC3710" w:rsidR="004746B1" w:rsidRPr="00A53E20" w:rsidRDefault="004746B1" w:rsidP="00C60BD6">
                      <w:pPr>
                        <w:numPr>
                          <w:ilvl w:val="0"/>
                          <w:numId w:val="11"/>
                        </w:numPr>
                        <w:spacing w:line="240" w:lineRule="auto"/>
                        <w:ind w:left="480" w:right="79"/>
                        <w:rPr>
                          <w:rFonts w:cs="Arial"/>
                          <w:color w:val="595959"/>
                          <w:sz w:val="18"/>
                          <w:szCs w:val="18"/>
                        </w:rPr>
                      </w:pPr>
                      <w:r>
                        <w:rPr>
                          <w:rFonts w:cs="Arial"/>
                          <w:b/>
                          <w:color w:val="595959"/>
                          <w:sz w:val="18"/>
                          <w:szCs w:val="18"/>
                        </w:rPr>
                        <w:t>Funding &amp; Tenders Portal elec</w:t>
                      </w:r>
                      <w:r w:rsidRPr="00B870D7">
                        <w:rPr>
                          <w:rFonts w:cs="Arial"/>
                          <w:b/>
                          <w:color w:val="595959"/>
                          <w:sz w:val="18"/>
                          <w:szCs w:val="18"/>
                        </w:rPr>
                        <w:t>tro</w:t>
                      </w:r>
                      <w:r>
                        <w:rPr>
                          <w:rFonts w:cs="Arial"/>
                          <w:b/>
                          <w:color w:val="595959"/>
                          <w:sz w:val="18"/>
                          <w:szCs w:val="18"/>
                        </w:rPr>
                        <w:t>nic exchange system</w:t>
                      </w:r>
                      <w:r>
                        <w:rPr>
                          <w:rFonts w:cs="Arial"/>
                          <w:color w:val="595959"/>
                          <w:sz w:val="18"/>
                          <w:szCs w:val="18"/>
                        </w:rPr>
                        <w:t xml:space="preserve"> </w:t>
                      </w:r>
                      <w:r w:rsidRPr="006010BA">
                        <w:rPr>
                          <w:rFonts w:eastAsia="Calibri"/>
                          <w:b/>
                          <w:color w:val="595959"/>
                          <w:sz w:val="18"/>
                          <w:szCs w:val="18"/>
                        </w:rPr>
                        <w:t>—</w:t>
                      </w:r>
                      <w:r>
                        <w:rPr>
                          <w:rFonts w:eastAsia="Calibri"/>
                          <w:b/>
                          <w:color w:val="595959"/>
                          <w:sz w:val="18"/>
                          <w:szCs w:val="18"/>
                        </w:rPr>
                        <w:t xml:space="preserve"> </w:t>
                      </w:r>
                      <w:r w:rsidRPr="006010BA">
                        <w:rPr>
                          <w:rFonts w:cs="Arial"/>
                          <w:color w:val="595959"/>
                          <w:sz w:val="18"/>
                          <w:szCs w:val="18"/>
                        </w:rPr>
                        <w:t xml:space="preserve">By submitting the </w:t>
                      </w:r>
                      <w:r>
                        <w:rPr>
                          <w:rFonts w:cs="Arial"/>
                          <w:color w:val="595959"/>
                          <w:sz w:val="18"/>
                          <w:szCs w:val="18"/>
                        </w:rPr>
                        <w:t>application</w:t>
                      </w:r>
                      <w:r w:rsidRPr="006010BA">
                        <w:rPr>
                          <w:rFonts w:cs="Arial"/>
                          <w:color w:val="595959"/>
                          <w:sz w:val="18"/>
                          <w:szCs w:val="18"/>
                        </w:rPr>
                        <w:t xml:space="preserve">, all </w:t>
                      </w:r>
                      <w:r>
                        <w:rPr>
                          <w:rFonts w:cs="Arial"/>
                          <w:color w:val="595959"/>
                          <w:sz w:val="18"/>
                          <w:szCs w:val="18"/>
                        </w:rPr>
                        <w:t>applicants</w:t>
                      </w:r>
                      <w:r w:rsidRPr="006010BA">
                        <w:rPr>
                          <w:rFonts w:cs="Arial"/>
                          <w:color w:val="595959"/>
                          <w:sz w:val="18"/>
                          <w:szCs w:val="18"/>
                        </w:rPr>
                        <w:t xml:space="preserve"> </w:t>
                      </w:r>
                      <w:r w:rsidRPr="006010BA">
                        <w:rPr>
                          <w:rFonts w:cs="Arial"/>
                          <w:b/>
                          <w:color w:val="595959"/>
                          <w:sz w:val="18"/>
                          <w:szCs w:val="18"/>
                        </w:rPr>
                        <w:t>accept</w:t>
                      </w:r>
                      <w:r>
                        <w:rPr>
                          <w:rFonts w:cs="Arial"/>
                          <w:color w:val="595959"/>
                          <w:sz w:val="18"/>
                          <w:szCs w:val="18"/>
                        </w:rPr>
                        <w:t xml:space="preserve"> </w:t>
                      </w:r>
                      <w:r w:rsidRPr="00A53E20">
                        <w:rPr>
                          <w:rFonts w:cs="Arial"/>
                          <w:color w:val="595959"/>
                          <w:sz w:val="18"/>
                          <w:szCs w:val="18"/>
                        </w:rPr>
                        <w:t>to use the electronic exchange system in accordance with the</w:t>
                      </w:r>
                      <w:r w:rsidRPr="00A53E20">
                        <w:rPr>
                          <w:rFonts w:cs="Arial"/>
                          <w:sz w:val="18"/>
                          <w:szCs w:val="18"/>
                        </w:rPr>
                        <w:t xml:space="preserve"> </w:t>
                      </w:r>
                      <w:hyperlink r:id="rId29" w:history="1">
                        <w:r w:rsidRPr="00CD17AD">
                          <w:rPr>
                            <w:rStyle w:val="Hyperlink"/>
                            <w:rFonts w:cs="Arial"/>
                            <w:sz w:val="18"/>
                            <w:szCs w:val="18"/>
                          </w:rPr>
                          <w:t>Portal Terms &amp; Conditions</w:t>
                        </w:r>
                      </w:hyperlink>
                      <w:r w:rsidRPr="00A53E20">
                        <w:rPr>
                          <w:rFonts w:cs="Arial"/>
                          <w:color w:val="7F7F7F"/>
                          <w:sz w:val="18"/>
                          <w:szCs w:val="18"/>
                        </w:rPr>
                        <w:t>.</w:t>
                      </w:r>
                    </w:p>
                    <w:p w14:paraId="6C8085B6" w14:textId="2F12F0C2" w:rsidR="004746B1" w:rsidRDefault="004746B1" w:rsidP="00C60BD6">
                      <w:pPr>
                        <w:numPr>
                          <w:ilvl w:val="0"/>
                          <w:numId w:val="11"/>
                        </w:numPr>
                        <w:spacing w:line="240" w:lineRule="auto"/>
                        <w:ind w:left="480" w:right="79"/>
                        <w:rPr>
                          <w:rFonts w:cs="Arial"/>
                          <w:color w:val="595959"/>
                          <w:sz w:val="18"/>
                          <w:szCs w:val="18"/>
                        </w:rPr>
                      </w:pPr>
                      <w:r>
                        <w:rPr>
                          <w:b/>
                          <w:color w:val="595959"/>
                          <w:sz w:val="18"/>
                          <w:szCs w:val="18"/>
                        </w:rPr>
                        <w:t>Registration</w:t>
                      </w:r>
                      <w:r w:rsidRPr="00A87DF7">
                        <w:rPr>
                          <w:rFonts w:cs="Arial"/>
                          <w:color w:val="595959"/>
                          <w:sz w:val="18"/>
                        </w:rPr>
                        <w:t xml:space="preserve"> </w:t>
                      </w:r>
                      <w:r w:rsidRPr="00A87DF7">
                        <w:rPr>
                          <w:rFonts w:eastAsia="Calibri"/>
                          <w:b/>
                          <w:color w:val="595959"/>
                          <w:sz w:val="18"/>
                          <w:szCs w:val="18"/>
                        </w:rPr>
                        <w:t>—</w:t>
                      </w:r>
                      <w:r>
                        <w:rPr>
                          <w:rFonts w:eastAsia="Calibri"/>
                          <w:b/>
                          <w:color w:val="595959"/>
                          <w:sz w:val="18"/>
                          <w:szCs w:val="18"/>
                        </w:rPr>
                        <w:t xml:space="preserve"> </w:t>
                      </w:r>
                      <w:r w:rsidRPr="00A53E20">
                        <w:rPr>
                          <w:rFonts w:cs="Arial"/>
                          <w:color w:val="595959"/>
                          <w:sz w:val="18"/>
                        </w:rPr>
                        <w:t>Before</w:t>
                      </w:r>
                      <w:r w:rsidRPr="006010BA">
                        <w:rPr>
                          <w:rFonts w:cs="Arial"/>
                          <w:color w:val="595959"/>
                          <w:sz w:val="18"/>
                          <w:szCs w:val="18"/>
                        </w:rPr>
                        <w:t xml:space="preserve"> submitting </w:t>
                      </w:r>
                      <w:r>
                        <w:rPr>
                          <w:rFonts w:cs="Arial"/>
                          <w:color w:val="595959"/>
                          <w:sz w:val="18"/>
                          <w:szCs w:val="18"/>
                        </w:rPr>
                        <w:t>the application</w:t>
                      </w:r>
                      <w:r w:rsidRPr="006010BA">
                        <w:rPr>
                          <w:rFonts w:cs="Arial"/>
                          <w:color w:val="595959"/>
                          <w:sz w:val="18"/>
                          <w:szCs w:val="18"/>
                        </w:rPr>
                        <w:t xml:space="preserve">, all </w:t>
                      </w:r>
                      <w:r>
                        <w:rPr>
                          <w:rFonts w:cs="Arial"/>
                          <w:color w:val="595959"/>
                          <w:sz w:val="18"/>
                          <w:szCs w:val="18"/>
                        </w:rPr>
                        <w:t xml:space="preserve">beneficiaries </w:t>
                      </w:r>
                      <w:r w:rsidRPr="0077243B">
                        <w:rPr>
                          <w:rFonts w:cs="Arial"/>
                          <w:color w:val="595959"/>
                          <w:sz w:val="18"/>
                          <w:szCs w:val="18"/>
                        </w:rPr>
                        <w:t>and affiliated entities</w:t>
                      </w:r>
                      <w:r w:rsidRPr="006010BA">
                        <w:rPr>
                          <w:rFonts w:cs="Arial"/>
                          <w:color w:val="595959"/>
                          <w:sz w:val="18"/>
                          <w:szCs w:val="18"/>
                        </w:rPr>
                        <w:t xml:space="preserve"> must be </w:t>
                      </w:r>
                      <w:r w:rsidRPr="007F3A33">
                        <w:rPr>
                          <w:rFonts w:cs="Arial"/>
                          <w:color w:val="595959"/>
                          <w:sz w:val="18"/>
                          <w:szCs w:val="18"/>
                        </w:rPr>
                        <w:t>registered</w:t>
                      </w:r>
                      <w:r w:rsidRPr="006010BA">
                        <w:rPr>
                          <w:rFonts w:cs="Arial"/>
                          <w:b/>
                          <w:color w:val="595959"/>
                          <w:sz w:val="18"/>
                          <w:szCs w:val="18"/>
                        </w:rPr>
                        <w:t xml:space="preserve"> </w:t>
                      </w:r>
                      <w:r w:rsidRPr="006010BA">
                        <w:rPr>
                          <w:rFonts w:cs="Arial"/>
                          <w:color w:val="595959"/>
                          <w:sz w:val="18"/>
                          <w:szCs w:val="18"/>
                        </w:rPr>
                        <w:t>in the</w:t>
                      </w:r>
                      <w:r w:rsidRPr="006010BA">
                        <w:rPr>
                          <w:rFonts w:cs="Arial"/>
                          <w:sz w:val="18"/>
                          <w:szCs w:val="18"/>
                        </w:rPr>
                        <w:t xml:space="preserve"> </w:t>
                      </w:r>
                      <w:hyperlink r:id="rId30" w:history="1">
                        <w:r w:rsidRPr="00BE541E">
                          <w:rPr>
                            <w:rStyle w:val="Hyperlink"/>
                            <w:rFonts w:cs="Arial"/>
                            <w:sz w:val="18"/>
                            <w:szCs w:val="18"/>
                          </w:rPr>
                          <w:t>Participant Register</w:t>
                        </w:r>
                      </w:hyperlink>
                      <w:r w:rsidRPr="00A53E20">
                        <w:rPr>
                          <w:rFonts w:cs="Arial"/>
                          <w:color w:val="595959"/>
                          <w:sz w:val="18"/>
                          <w:szCs w:val="18"/>
                        </w:rPr>
                        <w:t xml:space="preserve">. </w:t>
                      </w:r>
                      <w:r>
                        <w:rPr>
                          <w:rFonts w:cs="Arial"/>
                          <w:color w:val="595959"/>
                          <w:sz w:val="18"/>
                          <w:szCs w:val="18"/>
                        </w:rPr>
                        <w:t>The</w:t>
                      </w:r>
                      <w:r w:rsidRPr="006010BA">
                        <w:rPr>
                          <w:rFonts w:cs="Arial"/>
                          <w:color w:val="595959"/>
                          <w:sz w:val="18"/>
                          <w:szCs w:val="18"/>
                        </w:rPr>
                        <w:t xml:space="preserve"> </w:t>
                      </w:r>
                      <w:r>
                        <w:rPr>
                          <w:rFonts w:cs="Arial"/>
                          <w:color w:val="595959"/>
                          <w:sz w:val="18"/>
                          <w:szCs w:val="18"/>
                        </w:rPr>
                        <w:t xml:space="preserve">participant </w:t>
                      </w:r>
                      <w:r w:rsidRPr="006010BA">
                        <w:rPr>
                          <w:rFonts w:cs="Arial"/>
                          <w:color w:val="595959"/>
                          <w:sz w:val="18"/>
                          <w:szCs w:val="18"/>
                        </w:rPr>
                        <w:t xml:space="preserve">identification code (PIC) (one </w:t>
                      </w:r>
                      <w:r>
                        <w:rPr>
                          <w:rFonts w:cs="Arial"/>
                          <w:color w:val="595959"/>
                          <w:sz w:val="18"/>
                          <w:szCs w:val="18"/>
                        </w:rPr>
                        <w:t>per participant</w:t>
                      </w:r>
                      <w:r w:rsidRPr="006010BA">
                        <w:rPr>
                          <w:rFonts w:cs="Arial"/>
                          <w:color w:val="595959"/>
                          <w:sz w:val="18"/>
                          <w:szCs w:val="18"/>
                        </w:rPr>
                        <w:t>)</w:t>
                      </w:r>
                      <w:r>
                        <w:rPr>
                          <w:rFonts w:cs="Arial"/>
                          <w:color w:val="595959"/>
                          <w:sz w:val="18"/>
                          <w:szCs w:val="18"/>
                        </w:rPr>
                        <w:t xml:space="preserve"> is mandatory for the application form</w:t>
                      </w:r>
                      <w:r w:rsidRPr="006010BA">
                        <w:rPr>
                          <w:rFonts w:cs="Arial"/>
                          <w:color w:val="595959"/>
                          <w:sz w:val="18"/>
                          <w:szCs w:val="18"/>
                        </w:rPr>
                        <w:t>.</w:t>
                      </w:r>
                      <w:r>
                        <w:rPr>
                          <w:rFonts w:cs="Arial"/>
                          <w:color w:val="595959"/>
                          <w:sz w:val="18"/>
                          <w:szCs w:val="18"/>
                        </w:rPr>
                        <w:t xml:space="preserve"> Associated partners can register later on (at the latest during the grant preparation stage).</w:t>
                      </w:r>
                      <w:r w:rsidRPr="006010BA">
                        <w:rPr>
                          <w:rFonts w:cs="Arial"/>
                          <w:color w:val="595959"/>
                          <w:sz w:val="18"/>
                          <w:szCs w:val="18"/>
                        </w:rPr>
                        <w:t xml:space="preserve"> </w:t>
                      </w:r>
                      <w:r w:rsidRPr="009C17C4">
                        <w:rPr>
                          <w:rFonts w:cs="Arial"/>
                          <w:color w:val="595959"/>
                          <w:sz w:val="18"/>
                          <w:szCs w:val="18"/>
                        </w:rPr>
                        <w:t xml:space="preserve">For validation, </w:t>
                      </w:r>
                      <w:r w:rsidRPr="00B81CFD">
                        <w:rPr>
                          <w:rFonts w:cs="Arial"/>
                          <w:color w:val="595959"/>
                          <w:sz w:val="18"/>
                          <w:szCs w:val="18"/>
                        </w:rPr>
                        <w:t xml:space="preserve">beneficiaries and affiliated entities </w:t>
                      </w:r>
                      <w:r w:rsidRPr="009C17C4">
                        <w:rPr>
                          <w:rFonts w:cs="Arial"/>
                          <w:color w:val="595959"/>
                          <w:sz w:val="18"/>
                          <w:szCs w:val="18"/>
                        </w:rPr>
                        <w:t xml:space="preserve">will be requested to upload the necessary documents showing </w:t>
                      </w:r>
                      <w:r>
                        <w:rPr>
                          <w:rFonts w:cs="Arial"/>
                          <w:color w:val="595959"/>
                          <w:sz w:val="18"/>
                          <w:szCs w:val="18"/>
                        </w:rPr>
                        <w:t xml:space="preserve">their </w:t>
                      </w:r>
                      <w:r w:rsidRPr="009C17C4">
                        <w:rPr>
                          <w:rFonts w:cs="Arial"/>
                          <w:color w:val="595959"/>
                          <w:sz w:val="18"/>
                          <w:szCs w:val="18"/>
                        </w:rPr>
                        <w:t xml:space="preserve">legal status and origin during </w:t>
                      </w:r>
                      <w:r>
                        <w:rPr>
                          <w:rFonts w:cs="Arial"/>
                          <w:color w:val="595959"/>
                          <w:sz w:val="18"/>
                          <w:szCs w:val="18"/>
                        </w:rPr>
                        <w:t xml:space="preserve">the </w:t>
                      </w:r>
                      <w:r w:rsidRPr="009C17C4">
                        <w:rPr>
                          <w:rFonts w:cs="Arial"/>
                          <w:color w:val="595959"/>
                          <w:sz w:val="18"/>
                          <w:szCs w:val="18"/>
                        </w:rPr>
                        <w:t>grant preparation</w:t>
                      </w:r>
                      <w:r>
                        <w:rPr>
                          <w:rFonts w:cs="Arial"/>
                          <w:color w:val="595959"/>
                          <w:sz w:val="18"/>
                          <w:szCs w:val="18"/>
                        </w:rPr>
                        <w:t xml:space="preserve"> stage</w:t>
                      </w:r>
                      <w:r w:rsidRPr="009C17C4">
                        <w:rPr>
                          <w:rFonts w:cs="Arial"/>
                          <w:color w:val="595959"/>
                          <w:sz w:val="18"/>
                          <w:szCs w:val="18"/>
                        </w:rPr>
                        <w:t>.</w:t>
                      </w:r>
                    </w:p>
                    <w:p w14:paraId="1996947A" w14:textId="0CF7CC83" w:rsidR="004746B1" w:rsidRPr="00B7081A" w:rsidRDefault="004746B1" w:rsidP="00C60BD6">
                      <w:pPr>
                        <w:numPr>
                          <w:ilvl w:val="0"/>
                          <w:numId w:val="11"/>
                        </w:numPr>
                        <w:spacing w:line="240" w:lineRule="auto"/>
                        <w:ind w:left="480" w:right="78"/>
                        <w:rPr>
                          <w:rFonts w:cs="Arial"/>
                          <w:iCs/>
                          <w:color w:val="595959"/>
                          <w:sz w:val="18"/>
                          <w:szCs w:val="18"/>
                        </w:rPr>
                      </w:pPr>
                      <w:r w:rsidRPr="00A53E20">
                        <w:rPr>
                          <w:rFonts w:cs="Arial"/>
                          <w:b/>
                          <w:iCs/>
                          <w:color w:val="595959"/>
                          <w:sz w:val="18"/>
                          <w:szCs w:val="18"/>
                        </w:rPr>
                        <w:t>Consortium roles</w:t>
                      </w:r>
                      <w:r>
                        <w:rPr>
                          <w:rFonts w:cs="Arial"/>
                          <w:iCs/>
                          <w:color w:val="595959"/>
                          <w:sz w:val="18"/>
                          <w:szCs w:val="18"/>
                        </w:rPr>
                        <w:t xml:space="preserve"> </w:t>
                      </w:r>
                      <w:r w:rsidRPr="006010BA">
                        <w:rPr>
                          <w:rFonts w:eastAsia="Calibri"/>
                          <w:b/>
                          <w:color w:val="595959"/>
                          <w:sz w:val="18"/>
                          <w:szCs w:val="18"/>
                        </w:rPr>
                        <w:t>—</w:t>
                      </w:r>
                      <w:r w:rsidRPr="00A53E20">
                        <w:rPr>
                          <w:rFonts w:eastAsia="Calibri"/>
                          <w:color w:val="595959"/>
                          <w:sz w:val="18"/>
                          <w:szCs w:val="18"/>
                        </w:rPr>
                        <w:t xml:space="preserve"> </w:t>
                      </w:r>
                      <w:r>
                        <w:rPr>
                          <w:rFonts w:eastAsia="Calibri"/>
                          <w:color w:val="595959"/>
                          <w:sz w:val="18"/>
                          <w:szCs w:val="18"/>
                        </w:rPr>
                        <w:t xml:space="preserve">When setting up the consortium, applicants should think of organisations that can help them </w:t>
                      </w:r>
                      <w:r w:rsidRPr="00A53E20">
                        <w:rPr>
                          <w:rFonts w:eastAsia="Calibri"/>
                          <w:color w:val="595959"/>
                          <w:sz w:val="18"/>
                          <w:szCs w:val="18"/>
                        </w:rPr>
                        <w:t>reach objectives and solve problems</w:t>
                      </w:r>
                      <w:r>
                        <w:rPr>
                          <w:rFonts w:eastAsia="Calibri"/>
                          <w:color w:val="595959"/>
                          <w:sz w:val="18"/>
                          <w:szCs w:val="18"/>
                        </w:rPr>
                        <w:t xml:space="preserve">. </w:t>
                      </w:r>
                    </w:p>
                    <w:p w14:paraId="40CABB73" w14:textId="29CA6229" w:rsidR="004746B1" w:rsidRPr="00862B39" w:rsidRDefault="004746B1" w:rsidP="00C60BD6">
                      <w:pPr>
                        <w:ind w:left="480" w:right="78"/>
                        <w:rPr>
                          <w:rFonts w:eastAsia="Calibri"/>
                          <w:color w:val="595959"/>
                          <w:sz w:val="18"/>
                          <w:szCs w:val="18"/>
                        </w:rPr>
                      </w:pPr>
                      <w:r>
                        <w:rPr>
                          <w:rFonts w:eastAsia="Calibri"/>
                          <w:color w:val="595959"/>
                          <w:sz w:val="18"/>
                          <w:szCs w:val="18"/>
                        </w:rPr>
                        <w:t xml:space="preserve">The roles should be attributed according to the degree of participation of each participant in the project. Main participants should participate as beneficiaries or affiliated entities; other entities can participate as </w:t>
                      </w:r>
                      <w:r w:rsidRPr="00862B39">
                        <w:rPr>
                          <w:rFonts w:eastAsia="Calibri"/>
                          <w:color w:val="595959"/>
                          <w:sz w:val="18"/>
                          <w:szCs w:val="18"/>
                        </w:rPr>
                        <w:t xml:space="preserve">associated partners, subcontractors, </w:t>
                      </w:r>
                      <w:r>
                        <w:rPr>
                          <w:rFonts w:eastAsia="Calibri"/>
                          <w:color w:val="595959"/>
                          <w:sz w:val="18"/>
                          <w:szCs w:val="18"/>
                        </w:rPr>
                        <w:t xml:space="preserve">or </w:t>
                      </w:r>
                      <w:r w:rsidRPr="00862B39">
                        <w:rPr>
                          <w:rFonts w:eastAsia="Calibri"/>
                          <w:color w:val="595959"/>
                          <w:sz w:val="18"/>
                          <w:szCs w:val="18"/>
                        </w:rPr>
                        <w:t>third parties giving i</w:t>
                      </w:r>
                      <w:r w:rsidRPr="006B6206">
                        <w:rPr>
                          <w:rFonts w:eastAsia="Calibri"/>
                          <w:color w:val="595959"/>
                          <w:sz w:val="18"/>
                          <w:szCs w:val="18"/>
                        </w:rPr>
                        <w:t>n-kind contributions. Associated partners and third parties giving in-kind contributions should bear their own costs (they will not become formal recipients of EU funding).</w:t>
                      </w:r>
                      <w:r w:rsidRPr="00862B39">
                        <w:rPr>
                          <w:rFonts w:eastAsia="Calibri"/>
                          <w:color w:val="595959"/>
                          <w:sz w:val="18"/>
                          <w:szCs w:val="18"/>
                        </w:rPr>
                        <w:t xml:space="preserve"> Subcontracting </w:t>
                      </w:r>
                      <w:r w:rsidRPr="006B6206">
                        <w:rPr>
                          <w:rFonts w:eastAsia="Calibri"/>
                          <w:color w:val="595959"/>
                          <w:sz w:val="18"/>
                          <w:szCs w:val="18"/>
                        </w:rPr>
                        <w:t>should normally constitute a limited part</w:t>
                      </w:r>
                      <w:r w:rsidRPr="00862B39">
                        <w:rPr>
                          <w:rFonts w:eastAsia="Calibri"/>
                          <w:color w:val="595959"/>
                          <w:sz w:val="18"/>
                          <w:szCs w:val="18"/>
                        </w:rPr>
                        <w:t xml:space="preserve"> and must be performed by third parties (not by one of the beneficiaries/affiliated entities, </w:t>
                      </w:r>
                      <w:r w:rsidRPr="00862B39">
                        <w:rPr>
                          <w:rFonts w:eastAsia="Calibri"/>
                          <w:i/>
                          <w:color w:val="595959"/>
                          <w:sz w:val="18"/>
                          <w:szCs w:val="18"/>
                        </w:rPr>
                        <w:t xml:space="preserve">see section </w:t>
                      </w:r>
                      <w:r>
                        <w:rPr>
                          <w:rFonts w:eastAsia="Calibri"/>
                          <w:i/>
                          <w:color w:val="595959"/>
                          <w:sz w:val="18"/>
                          <w:szCs w:val="18"/>
                        </w:rPr>
                        <w:t>G</w:t>
                      </w:r>
                      <w:r w:rsidRPr="00862B39">
                        <w:rPr>
                          <w:rFonts w:eastAsia="Calibri"/>
                          <w:color w:val="595959"/>
                          <w:sz w:val="18"/>
                          <w:szCs w:val="18"/>
                        </w:rPr>
                        <w:t>).</w:t>
                      </w:r>
                    </w:p>
                    <w:p w14:paraId="3C860E48" w14:textId="31C953DA" w:rsidR="004746B1" w:rsidRPr="00862B39" w:rsidRDefault="004746B1" w:rsidP="00C60BD6">
                      <w:pPr>
                        <w:numPr>
                          <w:ilvl w:val="0"/>
                          <w:numId w:val="11"/>
                        </w:numPr>
                        <w:spacing w:line="240" w:lineRule="auto"/>
                        <w:ind w:left="480" w:right="78"/>
                        <w:rPr>
                          <w:rFonts w:cs="Arial"/>
                          <w:iCs/>
                          <w:color w:val="595959"/>
                          <w:sz w:val="18"/>
                          <w:szCs w:val="18"/>
                        </w:rPr>
                      </w:pPr>
                      <w:r w:rsidRPr="00862B39">
                        <w:rPr>
                          <w:rFonts w:cs="Arial"/>
                          <w:b/>
                          <w:color w:val="595959"/>
                          <w:sz w:val="18"/>
                          <w:szCs w:val="18"/>
                        </w:rPr>
                        <w:t xml:space="preserve">Coordinator </w:t>
                      </w:r>
                      <w:r w:rsidRPr="00862B39">
                        <w:rPr>
                          <w:rFonts w:eastAsia="Calibri"/>
                          <w:b/>
                          <w:color w:val="595959"/>
                          <w:sz w:val="18"/>
                          <w:szCs w:val="18"/>
                        </w:rPr>
                        <w:t xml:space="preserve">— </w:t>
                      </w:r>
                      <w:r w:rsidRPr="00862B39">
                        <w:rPr>
                          <w:rFonts w:eastAsia="Calibri"/>
                          <w:color w:val="595959"/>
                          <w:sz w:val="18"/>
                          <w:szCs w:val="18"/>
                        </w:rPr>
                        <w:t xml:space="preserve">In multi-beneficiary grants, the beneficiaries participate as </w:t>
                      </w:r>
                      <w:r>
                        <w:rPr>
                          <w:rFonts w:eastAsia="Calibri"/>
                          <w:color w:val="595959"/>
                          <w:sz w:val="18"/>
                          <w:szCs w:val="18"/>
                        </w:rPr>
                        <w:t>a c</w:t>
                      </w:r>
                      <w:r w:rsidRPr="00862B39">
                        <w:rPr>
                          <w:rFonts w:eastAsia="Calibri"/>
                          <w:color w:val="595959"/>
                          <w:sz w:val="18"/>
                          <w:szCs w:val="18"/>
                        </w:rPr>
                        <w:t xml:space="preserve">onsortium (group of beneficiaries). They will have to choose a coordinator, who will </w:t>
                      </w:r>
                      <w:r>
                        <w:rPr>
                          <w:rFonts w:eastAsia="Calibri"/>
                          <w:color w:val="595959"/>
                          <w:sz w:val="18"/>
                          <w:szCs w:val="18"/>
                        </w:rPr>
                        <w:t>manage and coordinate</w:t>
                      </w:r>
                      <w:r w:rsidRPr="00862B39">
                        <w:rPr>
                          <w:rFonts w:eastAsia="Calibri"/>
                          <w:color w:val="595959"/>
                          <w:sz w:val="18"/>
                          <w:szCs w:val="18"/>
                        </w:rPr>
                        <w:t xml:space="preserve"> the project and will represent the consortium towards the granting authority. In mono-beneficiary grants, the single beneficiary will automatically be </w:t>
                      </w:r>
                      <w:r>
                        <w:rPr>
                          <w:rFonts w:eastAsia="Calibri"/>
                          <w:color w:val="595959"/>
                          <w:sz w:val="18"/>
                          <w:szCs w:val="18"/>
                        </w:rPr>
                        <w:t xml:space="preserve">the </w:t>
                      </w:r>
                      <w:r w:rsidRPr="00862B39">
                        <w:rPr>
                          <w:rFonts w:eastAsia="Calibri"/>
                          <w:color w:val="595959"/>
                          <w:sz w:val="18"/>
                          <w:szCs w:val="18"/>
                        </w:rPr>
                        <w:t>coordinator.</w:t>
                      </w:r>
                    </w:p>
                    <w:p w14:paraId="7DDEC262" w14:textId="77777777" w:rsidR="004746B1" w:rsidRPr="00862B39" w:rsidRDefault="004746B1" w:rsidP="00C60BD6">
                      <w:pPr>
                        <w:numPr>
                          <w:ilvl w:val="0"/>
                          <w:numId w:val="11"/>
                        </w:numPr>
                        <w:spacing w:line="240" w:lineRule="auto"/>
                        <w:ind w:left="480" w:right="78"/>
                        <w:rPr>
                          <w:rFonts w:eastAsia="Verdana" w:cs="Verdana"/>
                          <w:color w:val="595959"/>
                          <w:sz w:val="18"/>
                          <w:szCs w:val="18"/>
                          <w:lang w:val="en-US"/>
                        </w:rPr>
                      </w:pPr>
                      <w:r w:rsidRPr="006B6206">
                        <w:rPr>
                          <w:rFonts w:eastAsia="Verdana" w:cs="Verdana"/>
                          <w:b/>
                          <w:color w:val="595959"/>
                          <w:sz w:val="18"/>
                          <w:szCs w:val="18"/>
                        </w:rPr>
                        <w:t>Affiliated entities</w:t>
                      </w:r>
                      <w:r w:rsidRPr="00862B39">
                        <w:rPr>
                          <w:rFonts w:eastAsia="Verdana" w:cs="Verdana"/>
                          <w:b/>
                          <w:color w:val="595959"/>
                          <w:sz w:val="18"/>
                          <w:szCs w:val="18"/>
                          <w:lang w:val="en-US"/>
                        </w:rPr>
                        <w:t xml:space="preserve"> </w:t>
                      </w:r>
                      <w:r w:rsidRPr="00862B39">
                        <w:rPr>
                          <w:rFonts w:eastAsia="Calibri"/>
                          <w:color w:val="595959"/>
                          <w:sz w:val="18"/>
                          <w:szCs w:val="18"/>
                        </w:rPr>
                        <w:t xml:space="preserve">— </w:t>
                      </w:r>
                      <w:r w:rsidRPr="00862B39">
                        <w:rPr>
                          <w:rFonts w:eastAsia="Verdana" w:cs="Verdana"/>
                          <w:color w:val="595959"/>
                          <w:sz w:val="18"/>
                          <w:szCs w:val="18"/>
                          <w:lang w:val="en-US"/>
                        </w:rPr>
                        <w:t xml:space="preserve">Applicants may participate with affiliated entities. Affiliated entities will get a part of the </w:t>
                      </w:r>
                      <w:r>
                        <w:rPr>
                          <w:rFonts w:eastAsia="Verdana" w:cs="Verdana"/>
                          <w:color w:val="595959"/>
                          <w:sz w:val="18"/>
                          <w:szCs w:val="18"/>
                          <w:lang w:val="en-US"/>
                        </w:rPr>
                        <w:t>EU funding</w:t>
                      </w:r>
                      <w:r w:rsidRPr="00862B39">
                        <w:rPr>
                          <w:rFonts w:eastAsia="Verdana" w:cs="Verdana"/>
                          <w:color w:val="595959"/>
                          <w:sz w:val="18"/>
                          <w:szCs w:val="18"/>
                          <w:lang w:val="en-US"/>
                        </w:rPr>
                        <w:t xml:space="preserve"> and must therefore comply with all the call conditions (just like beneficiaries). But they </w:t>
                      </w:r>
                      <w:r w:rsidRPr="00862B39">
                        <w:rPr>
                          <w:color w:val="595959"/>
                          <w:sz w:val="18"/>
                          <w:szCs w:val="18"/>
                        </w:rPr>
                        <w:t>do</w:t>
                      </w:r>
                      <w:r w:rsidRPr="00862B39">
                        <w:rPr>
                          <w:rFonts w:eastAsia="Verdana" w:cs="Verdana"/>
                          <w:color w:val="595959"/>
                          <w:sz w:val="18"/>
                          <w:szCs w:val="18"/>
                          <w:lang w:val="en-US"/>
                        </w:rPr>
                        <w:t xml:space="preserve"> not sign the </w:t>
                      </w:r>
                      <w:r>
                        <w:rPr>
                          <w:rFonts w:eastAsia="Verdana" w:cs="Verdana"/>
                          <w:color w:val="595959"/>
                          <w:sz w:val="18"/>
                          <w:szCs w:val="18"/>
                          <w:lang w:val="en-US"/>
                        </w:rPr>
                        <w:t>g</w:t>
                      </w:r>
                      <w:r w:rsidRPr="00862B39">
                        <w:rPr>
                          <w:rFonts w:eastAsia="Verdana" w:cs="Verdana"/>
                          <w:color w:val="595959"/>
                          <w:sz w:val="18"/>
                          <w:szCs w:val="18"/>
                          <w:lang w:val="en-US"/>
                        </w:rPr>
                        <w:t xml:space="preserve">rant </w:t>
                      </w:r>
                      <w:r>
                        <w:rPr>
                          <w:rFonts w:eastAsia="Verdana" w:cs="Verdana"/>
                          <w:color w:val="595959"/>
                          <w:sz w:val="18"/>
                          <w:szCs w:val="18"/>
                          <w:lang w:val="en-US"/>
                        </w:rPr>
                        <w:t>a</w:t>
                      </w:r>
                      <w:r w:rsidRPr="00862B39">
                        <w:rPr>
                          <w:rFonts w:eastAsia="Verdana" w:cs="Verdana"/>
                          <w:color w:val="595959"/>
                          <w:sz w:val="18"/>
                          <w:szCs w:val="18"/>
                          <w:lang w:val="en-US"/>
                        </w:rPr>
                        <w:t>greement</w:t>
                      </w:r>
                      <w:r w:rsidRPr="00862B39">
                        <w:rPr>
                          <w:color w:val="595959"/>
                          <w:sz w:val="18"/>
                          <w:szCs w:val="18"/>
                        </w:rPr>
                        <w:t xml:space="preserve"> and do not count towards the minimum eligibility criteria for consortium composition (if any).</w:t>
                      </w:r>
                    </w:p>
                    <w:p w14:paraId="65D42ED2" w14:textId="05E37284" w:rsidR="004746B1" w:rsidRPr="00A53E20" w:rsidRDefault="004746B1" w:rsidP="00C60BD6">
                      <w:pPr>
                        <w:numPr>
                          <w:ilvl w:val="0"/>
                          <w:numId w:val="11"/>
                        </w:numPr>
                        <w:spacing w:line="240" w:lineRule="auto"/>
                        <w:ind w:left="480" w:right="78"/>
                        <w:rPr>
                          <w:rFonts w:eastAsia="Verdana" w:cs="Verdana"/>
                          <w:color w:val="595959"/>
                          <w:sz w:val="18"/>
                          <w:szCs w:val="18"/>
                          <w:lang w:val="en-US"/>
                        </w:rPr>
                      </w:pPr>
                      <w:r w:rsidRPr="006B6206">
                        <w:rPr>
                          <w:rFonts w:eastAsia="Verdana" w:cs="Verdana"/>
                          <w:b/>
                          <w:color w:val="595959"/>
                          <w:sz w:val="18"/>
                          <w:szCs w:val="18"/>
                        </w:rPr>
                        <w:t>Associated partners</w:t>
                      </w:r>
                      <w:r w:rsidRPr="00862B39">
                        <w:rPr>
                          <w:rFonts w:eastAsia="Verdana" w:cs="Verdana"/>
                          <w:b/>
                          <w:color w:val="595959"/>
                          <w:sz w:val="18"/>
                          <w:szCs w:val="18"/>
                          <w:lang w:val="en-US"/>
                        </w:rPr>
                        <w:t xml:space="preserve"> </w:t>
                      </w:r>
                      <w:r w:rsidRPr="00862B39">
                        <w:rPr>
                          <w:rFonts w:eastAsia="Calibri"/>
                          <w:color w:val="595959"/>
                          <w:sz w:val="18"/>
                          <w:szCs w:val="18"/>
                        </w:rPr>
                        <w:t xml:space="preserve">— </w:t>
                      </w:r>
                      <w:r w:rsidRPr="00862B39">
                        <w:rPr>
                          <w:rFonts w:eastAsia="Verdana" w:cs="Verdana"/>
                          <w:color w:val="595959"/>
                          <w:sz w:val="18"/>
                          <w:szCs w:val="18"/>
                          <w:lang w:val="en-US"/>
                        </w:rPr>
                        <w:t>Applicants</w:t>
                      </w:r>
                      <w:r w:rsidRPr="00072FAA">
                        <w:rPr>
                          <w:rFonts w:eastAsia="Verdana" w:cs="Verdana"/>
                          <w:color w:val="595959"/>
                          <w:sz w:val="18"/>
                          <w:szCs w:val="18"/>
                          <w:lang w:val="en-US"/>
                        </w:rPr>
                        <w:t xml:space="preserve"> may participate with </w:t>
                      </w:r>
                      <w:r>
                        <w:rPr>
                          <w:rFonts w:eastAsia="Verdana" w:cs="Verdana"/>
                          <w:color w:val="595959"/>
                          <w:sz w:val="18"/>
                          <w:szCs w:val="18"/>
                          <w:lang w:val="en-US"/>
                        </w:rPr>
                        <w:t>associated partners</w:t>
                      </w:r>
                      <w:r w:rsidRPr="00072FAA">
                        <w:rPr>
                          <w:rFonts w:eastAsia="Verdana" w:cs="Verdana"/>
                          <w:color w:val="595959"/>
                          <w:sz w:val="18"/>
                          <w:szCs w:val="18"/>
                          <w:lang w:val="en-US"/>
                        </w:rPr>
                        <w:t xml:space="preserve">. </w:t>
                      </w:r>
                      <w:r>
                        <w:rPr>
                          <w:rFonts w:eastAsia="Verdana" w:cs="Verdana"/>
                          <w:color w:val="595959"/>
                          <w:sz w:val="18"/>
                          <w:szCs w:val="18"/>
                          <w:lang w:val="en-US"/>
                        </w:rPr>
                        <w:t>They participate without funding and without signing the grant agreement and therefore do not need to be validated</w:t>
                      </w:r>
                      <w:r w:rsidRPr="00072FAA">
                        <w:rPr>
                          <w:color w:val="595959"/>
                          <w:sz w:val="18"/>
                          <w:szCs w:val="18"/>
                        </w:rPr>
                        <w:t>.</w:t>
                      </w:r>
                    </w:p>
                    <w:p w14:paraId="18152CFF" w14:textId="32DEC5C3" w:rsidR="004746B1" w:rsidRPr="00072FAA" w:rsidRDefault="004746B1" w:rsidP="00C60BD6">
                      <w:pPr>
                        <w:numPr>
                          <w:ilvl w:val="0"/>
                          <w:numId w:val="11"/>
                        </w:numPr>
                        <w:spacing w:line="240" w:lineRule="auto"/>
                        <w:ind w:left="480" w:right="78"/>
                        <w:rPr>
                          <w:rFonts w:eastAsia="Verdana" w:cs="Verdana"/>
                          <w:color w:val="595959"/>
                          <w:sz w:val="18"/>
                          <w:szCs w:val="18"/>
                          <w:lang w:val="en-US"/>
                        </w:rPr>
                      </w:pPr>
                      <w:r>
                        <w:rPr>
                          <w:rFonts w:eastAsia="Verdana" w:cs="Verdana"/>
                          <w:b/>
                          <w:color w:val="595959"/>
                          <w:sz w:val="18"/>
                          <w:szCs w:val="18"/>
                        </w:rPr>
                        <w:t xml:space="preserve">Consortium agreement </w:t>
                      </w:r>
                      <w:r w:rsidRPr="00072FAA">
                        <w:rPr>
                          <w:rFonts w:eastAsia="Calibri"/>
                          <w:color w:val="595959"/>
                          <w:sz w:val="18"/>
                          <w:szCs w:val="18"/>
                        </w:rPr>
                        <w:t>—</w:t>
                      </w:r>
                      <w:r>
                        <w:rPr>
                          <w:rFonts w:eastAsia="Calibri"/>
                          <w:color w:val="595959"/>
                          <w:sz w:val="18"/>
                          <w:szCs w:val="18"/>
                        </w:rPr>
                        <w:t xml:space="preserve"> For practical and legal reasons, it is recommended to set up internal arrangements that allow the consortium to deal with exceptional or unforeseen circumstances (in all cases, even if not mandatory under the grant agreement). The consortium agreement also gives the possibility to redistribute </w:t>
                      </w:r>
                      <w:r w:rsidRPr="003D177E">
                        <w:rPr>
                          <w:rFonts w:eastAsia="Calibri"/>
                          <w:color w:val="595959"/>
                          <w:sz w:val="18"/>
                          <w:szCs w:val="18"/>
                        </w:rPr>
                        <w:t>the E</w:t>
                      </w:r>
                      <w:r>
                        <w:rPr>
                          <w:rFonts w:eastAsia="Calibri"/>
                          <w:color w:val="595959"/>
                          <w:sz w:val="18"/>
                          <w:szCs w:val="18"/>
                        </w:rPr>
                        <w:t xml:space="preserve">U funding according to internal consortium principles and arrangements (for instance, </w:t>
                      </w:r>
                      <w:r w:rsidRPr="00B23708">
                        <w:rPr>
                          <w:rFonts w:eastAsia="Calibri"/>
                          <w:color w:val="595959"/>
                          <w:sz w:val="18"/>
                          <w:szCs w:val="18"/>
                        </w:rPr>
                        <w:t>one</w:t>
                      </w:r>
                      <w:r w:rsidRPr="00B23708">
                        <w:rPr>
                          <w:rFonts w:eastAsia="Calibri"/>
                          <w:color w:val="FF0000"/>
                          <w:sz w:val="18"/>
                          <w:szCs w:val="18"/>
                        </w:rPr>
                        <w:t xml:space="preserve"> </w:t>
                      </w:r>
                      <w:r w:rsidRPr="00B23708">
                        <w:rPr>
                          <w:rFonts w:eastAsia="Calibri"/>
                          <w:color w:val="595959"/>
                          <w:sz w:val="18"/>
                          <w:szCs w:val="18"/>
                        </w:rPr>
                        <w:t xml:space="preserve">beneficiary can reattribute </w:t>
                      </w:r>
                      <w:r>
                        <w:rPr>
                          <w:rFonts w:eastAsia="Calibri"/>
                          <w:color w:val="595959"/>
                          <w:sz w:val="18"/>
                          <w:szCs w:val="18"/>
                        </w:rPr>
                        <w:t>their</w:t>
                      </w:r>
                      <w:r w:rsidRPr="00B23708">
                        <w:rPr>
                          <w:rFonts w:eastAsia="Calibri"/>
                          <w:color w:val="595959"/>
                          <w:sz w:val="18"/>
                          <w:szCs w:val="18"/>
                        </w:rPr>
                        <w:t xml:space="preserve"> grant share to another beneficiary</w:t>
                      </w:r>
                      <w:r>
                        <w:rPr>
                          <w:rFonts w:eastAsia="Calibri"/>
                          <w:color w:val="595959"/>
                          <w:sz w:val="18"/>
                          <w:szCs w:val="18"/>
                        </w:rPr>
                        <w:t>). The consortium agreement thus allows the grant to be customised to the needs of the consortium and can also help to protect the members in case of disputes. Consortium agreements are not required for mono-beneficiary projects.</w:t>
                      </w:r>
                    </w:p>
                    <w:p w14:paraId="7F6BEC07" w14:textId="35B5612B" w:rsidR="004746B1" w:rsidRPr="003C4AAA" w:rsidRDefault="004746B1" w:rsidP="00C60BD6">
                      <w:pPr>
                        <w:numPr>
                          <w:ilvl w:val="0"/>
                          <w:numId w:val="11"/>
                        </w:numPr>
                        <w:spacing w:line="240" w:lineRule="auto"/>
                        <w:ind w:left="480" w:right="78"/>
                        <w:rPr>
                          <w:rFonts w:cs="Arial"/>
                          <w:color w:val="595959"/>
                          <w:sz w:val="18"/>
                          <w:szCs w:val="18"/>
                          <w:lang w:val="en-US"/>
                        </w:rPr>
                      </w:pPr>
                      <w:r w:rsidRPr="003C4AAA">
                        <w:rPr>
                          <w:rFonts w:cs="Arial"/>
                          <w:b/>
                          <w:color w:val="595959"/>
                          <w:sz w:val="18"/>
                          <w:szCs w:val="18"/>
                        </w:rPr>
                        <w:t>Completed/ongoing projects</w:t>
                      </w:r>
                      <w:r w:rsidRPr="003C4AAA">
                        <w:rPr>
                          <w:rFonts w:cs="Arial"/>
                          <w:color w:val="595959"/>
                          <w:sz w:val="18"/>
                          <w:szCs w:val="18"/>
                        </w:rPr>
                        <w:t xml:space="preserve"> </w:t>
                      </w:r>
                      <w:r w:rsidRPr="003C4AAA">
                        <w:rPr>
                          <w:rFonts w:cs="Arial"/>
                          <w:b/>
                          <w:color w:val="595959"/>
                          <w:sz w:val="18"/>
                          <w:szCs w:val="18"/>
                        </w:rPr>
                        <w:t xml:space="preserve">— </w:t>
                      </w:r>
                      <w:r>
                        <w:rPr>
                          <w:rFonts w:cs="Arial"/>
                          <w:color w:val="595959"/>
                          <w:sz w:val="18"/>
                          <w:szCs w:val="18"/>
                        </w:rPr>
                        <w:t>Application</w:t>
                      </w:r>
                      <w:r w:rsidRPr="003C4AAA">
                        <w:rPr>
                          <w:rFonts w:cs="Arial"/>
                          <w:color w:val="595959"/>
                          <w:sz w:val="18"/>
                          <w:szCs w:val="18"/>
                        </w:rPr>
                        <w:t>s for projects that</w:t>
                      </w:r>
                      <w:r w:rsidRPr="003C4AAA">
                        <w:rPr>
                          <w:rFonts w:cs="Arial"/>
                          <w:color w:val="595959"/>
                          <w:sz w:val="18"/>
                          <w:szCs w:val="18"/>
                          <w:lang w:val="en-US"/>
                        </w:rPr>
                        <w:t xml:space="preserve"> have already been completed will be rejected</w:t>
                      </w:r>
                      <w:r>
                        <w:rPr>
                          <w:rFonts w:cs="Arial"/>
                          <w:color w:val="595959"/>
                          <w:sz w:val="18"/>
                          <w:szCs w:val="18"/>
                          <w:lang w:val="en-US"/>
                        </w:rPr>
                        <w:t>.</w:t>
                      </w:r>
                      <w:r w:rsidRPr="003C4AAA">
                        <w:rPr>
                          <w:rFonts w:cs="Arial"/>
                          <w:color w:val="595959"/>
                          <w:sz w:val="18"/>
                          <w:szCs w:val="18"/>
                          <w:lang w:val="en-US"/>
                        </w:rPr>
                        <w:t xml:space="preserve"> </w:t>
                      </w:r>
                      <w:r>
                        <w:rPr>
                          <w:rFonts w:cs="Arial"/>
                          <w:color w:val="595959"/>
                          <w:sz w:val="18"/>
                          <w:szCs w:val="18"/>
                          <w:lang w:val="en-US"/>
                        </w:rPr>
                        <w:t>Application</w:t>
                      </w:r>
                      <w:r w:rsidRPr="003C4AAA">
                        <w:rPr>
                          <w:rFonts w:cs="Arial"/>
                          <w:color w:val="595959"/>
                          <w:sz w:val="18"/>
                          <w:szCs w:val="18"/>
                          <w:lang w:val="en-US"/>
                        </w:rPr>
                        <w:t xml:space="preserve">s for projects that have already started will be assessed on a case-by-case basis (in </w:t>
                      </w:r>
                      <w:r>
                        <w:rPr>
                          <w:rFonts w:cs="Arial"/>
                          <w:color w:val="595959"/>
                          <w:sz w:val="18"/>
                          <w:szCs w:val="18"/>
                          <w:lang w:val="en-US"/>
                        </w:rPr>
                        <w:t>such</w:t>
                      </w:r>
                      <w:r w:rsidRPr="003C4AAA">
                        <w:rPr>
                          <w:rFonts w:cs="Arial"/>
                          <w:color w:val="595959"/>
                          <w:sz w:val="18"/>
                          <w:szCs w:val="18"/>
                          <w:lang w:val="en-US"/>
                        </w:rPr>
                        <w:t xml:space="preserve"> case</w:t>
                      </w:r>
                      <w:r>
                        <w:rPr>
                          <w:rFonts w:cs="Arial"/>
                          <w:color w:val="595959"/>
                          <w:sz w:val="18"/>
                          <w:szCs w:val="18"/>
                          <w:lang w:val="en-US"/>
                        </w:rPr>
                        <w:t>s</w:t>
                      </w:r>
                      <w:r w:rsidRPr="003C4AAA">
                        <w:rPr>
                          <w:rFonts w:cs="Arial"/>
                          <w:color w:val="595959"/>
                          <w:sz w:val="18"/>
                          <w:szCs w:val="18"/>
                          <w:lang w:val="en-US"/>
                        </w:rPr>
                        <w:t xml:space="preserve">, no costs can be reimbursed for activities that took place before </w:t>
                      </w:r>
                      <w:r>
                        <w:rPr>
                          <w:rFonts w:cs="Arial"/>
                          <w:color w:val="595959"/>
                          <w:sz w:val="18"/>
                          <w:szCs w:val="18"/>
                          <w:lang w:val="en-US"/>
                        </w:rPr>
                        <w:t>the application</w:t>
                      </w:r>
                      <w:r w:rsidRPr="003C4AAA">
                        <w:rPr>
                          <w:rFonts w:cs="Arial"/>
                          <w:color w:val="595959"/>
                          <w:sz w:val="18"/>
                          <w:szCs w:val="18"/>
                          <w:lang w:val="en-US"/>
                        </w:rPr>
                        <w:t xml:space="preserve"> </w:t>
                      </w:r>
                      <w:r>
                        <w:rPr>
                          <w:rFonts w:cs="Arial"/>
                          <w:color w:val="595959"/>
                          <w:sz w:val="18"/>
                          <w:szCs w:val="18"/>
                          <w:lang w:val="en-US"/>
                        </w:rPr>
                        <w:t xml:space="preserve">was </w:t>
                      </w:r>
                      <w:r w:rsidRPr="003C4AAA">
                        <w:rPr>
                          <w:rFonts w:cs="Arial"/>
                          <w:color w:val="595959"/>
                          <w:sz w:val="18"/>
                          <w:szCs w:val="18"/>
                          <w:lang w:val="en-US"/>
                        </w:rPr>
                        <w:t>submi</w:t>
                      </w:r>
                      <w:r>
                        <w:rPr>
                          <w:rFonts w:cs="Arial"/>
                          <w:color w:val="595959"/>
                          <w:sz w:val="18"/>
                          <w:szCs w:val="18"/>
                          <w:lang w:val="en-US"/>
                        </w:rPr>
                        <w:t>tted</w:t>
                      </w:r>
                      <w:r w:rsidRPr="003C4AAA">
                        <w:rPr>
                          <w:rFonts w:cs="Arial"/>
                          <w:color w:val="595959"/>
                          <w:sz w:val="18"/>
                          <w:szCs w:val="18"/>
                          <w:lang w:val="en-US"/>
                        </w:rPr>
                        <w:t>).</w:t>
                      </w:r>
                    </w:p>
                    <w:p w14:paraId="6A4ACDFD" w14:textId="77777777" w:rsidR="004746B1" w:rsidRPr="002B5DFF" w:rsidRDefault="004746B1" w:rsidP="00C60BD6">
                      <w:pPr>
                        <w:ind w:right="79"/>
                        <w:rPr>
                          <w:rFonts w:cs="Arial"/>
                          <w:color w:val="595959"/>
                          <w:sz w:val="18"/>
                          <w:szCs w:val="18"/>
                          <w:lang w:val="en-US"/>
                        </w:rPr>
                      </w:pPr>
                    </w:p>
                  </w:txbxContent>
                </v:textbox>
              </v:shape>
            </w:pict>
          </mc:Fallback>
        </mc:AlternateContent>
      </w:r>
    </w:p>
    <w:p w14:paraId="43F5EC6D" w14:textId="77777777" w:rsidR="00C60BD6" w:rsidRPr="00A836B9" w:rsidRDefault="00C60BD6" w:rsidP="00C60BD6">
      <w:pPr>
        <w:rPr>
          <w:szCs w:val="24"/>
        </w:rPr>
      </w:pPr>
    </w:p>
    <w:p w14:paraId="4C7BDACD" w14:textId="77777777" w:rsidR="00C60BD6" w:rsidRPr="00A836B9" w:rsidRDefault="00C60BD6" w:rsidP="00C60BD6">
      <w:pPr>
        <w:rPr>
          <w:szCs w:val="24"/>
        </w:rPr>
      </w:pPr>
    </w:p>
    <w:p w14:paraId="4685D612" w14:textId="77777777" w:rsidR="00C60BD6" w:rsidRPr="00A836B9" w:rsidRDefault="00C60BD6" w:rsidP="00C60BD6">
      <w:pPr>
        <w:rPr>
          <w:szCs w:val="24"/>
        </w:rPr>
      </w:pPr>
    </w:p>
    <w:p w14:paraId="17724416" w14:textId="77777777" w:rsidR="00C60BD6" w:rsidRPr="00A836B9" w:rsidRDefault="00C60BD6" w:rsidP="00C60BD6">
      <w:pPr>
        <w:rPr>
          <w:szCs w:val="24"/>
        </w:rPr>
      </w:pPr>
    </w:p>
    <w:p w14:paraId="15AAC7C7" w14:textId="77777777" w:rsidR="00C60BD6" w:rsidRPr="00A836B9" w:rsidRDefault="00C60BD6" w:rsidP="00C60BD6">
      <w:pPr>
        <w:rPr>
          <w:szCs w:val="24"/>
        </w:rPr>
      </w:pPr>
    </w:p>
    <w:p w14:paraId="53BED138" w14:textId="77777777" w:rsidR="00C60BD6" w:rsidRPr="00A836B9" w:rsidRDefault="00C60BD6" w:rsidP="00C60BD6">
      <w:pPr>
        <w:rPr>
          <w:szCs w:val="24"/>
        </w:rPr>
      </w:pPr>
    </w:p>
    <w:p w14:paraId="5A6D2676" w14:textId="77777777" w:rsidR="00C60BD6" w:rsidRPr="00A836B9" w:rsidRDefault="00C60BD6" w:rsidP="00C60BD6">
      <w:pPr>
        <w:rPr>
          <w:szCs w:val="24"/>
        </w:rPr>
      </w:pPr>
    </w:p>
    <w:p w14:paraId="286963E5" w14:textId="77777777" w:rsidR="00C60BD6" w:rsidRPr="00A836B9" w:rsidRDefault="00C60BD6" w:rsidP="00C60BD6">
      <w:pPr>
        <w:rPr>
          <w:szCs w:val="24"/>
        </w:rPr>
      </w:pPr>
    </w:p>
    <w:p w14:paraId="6E2A18A9" w14:textId="77777777" w:rsidR="00C60BD6" w:rsidRPr="00A836B9" w:rsidRDefault="00C60BD6" w:rsidP="00C60BD6">
      <w:pPr>
        <w:rPr>
          <w:szCs w:val="24"/>
        </w:rPr>
      </w:pPr>
    </w:p>
    <w:p w14:paraId="60010EBE" w14:textId="77777777" w:rsidR="00C60BD6" w:rsidRPr="00A836B9" w:rsidRDefault="00C60BD6" w:rsidP="00C60BD6">
      <w:pPr>
        <w:rPr>
          <w:szCs w:val="24"/>
        </w:rPr>
      </w:pPr>
    </w:p>
    <w:p w14:paraId="239F78E6" w14:textId="77777777" w:rsidR="00C60BD6" w:rsidRPr="00A836B9" w:rsidRDefault="00C60BD6" w:rsidP="00C60BD6">
      <w:pPr>
        <w:rPr>
          <w:szCs w:val="24"/>
        </w:rPr>
      </w:pPr>
    </w:p>
    <w:p w14:paraId="37EDDC48" w14:textId="77777777" w:rsidR="00C60BD6" w:rsidRPr="00A836B9" w:rsidRDefault="00C60BD6" w:rsidP="00C60BD6">
      <w:pPr>
        <w:rPr>
          <w:szCs w:val="24"/>
        </w:rPr>
      </w:pPr>
    </w:p>
    <w:p w14:paraId="3B288FFF" w14:textId="77777777" w:rsidR="00C60BD6" w:rsidRPr="00A836B9" w:rsidRDefault="00C60BD6" w:rsidP="00C60BD6">
      <w:pPr>
        <w:rPr>
          <w:szCs w:val="24"/>
        </w:rPr>
      </w:pPr>
    </w:p>
    <w:p w14:paraId="1E28FB50" w14:textId="77777777" w:rsidR="00C60BD6" w:rsidRPr="00A836B9" w:rsidRDefault="00C60BD6" w:rsidP="00C60BD6">
      <w:pPr>
        <w:rPr>
          <w:szCs w:val="24"/>
        </w:rPr>
      </w:pPr>
    </w:p>
    <w:p w14:paraId="253DDF17" w14:textId="77777777" w:rsidR="00C60BD6" w:rsidRPr="00A836B9" w:rsidRDefault="00C60BD6" w:rsidP="00C60BD6">
      <w:pPr>
        <w:rPr>
          <w:szCs w:val="24"/>
        </w:rPr>
      </w:pPr>
    </w:p>
    <w:p w14:paraId="51A44394" w14:textId="77777777" w:rsidR="00C60BD6" w:rsidRPr="00A836B9" w:rsidRDefault="00C60BD6" w:rsidP="00C60BD6">
      <w:pPr>
        <w:rPr>
          <w:szCs w:val="24"/>
        </w:rPr>
      </w:pPr>
    </w:p>
    <w:p w14:paraId="25C176E2" w14:textId="77777777" w:rsidR="00C60BD6" w:rsidRPr="00A836B9" w:rsidRDefault="00C60BD6" w:rsidP="00C60BD6">
      <w:pPr>
        <w:rPr>
          <w:szCs w:val="24"/>
        </w:rPr>
      </w:pPr>
    </w:p>
    <w:p w14:paraId="09FA8815" w14:textId="77777777" w:rsidR="00C60BD6" w:rsidRPr="00A836B9" w:rsidRDefault="00C60BD6" w:rsidP="00C60BD6">
      <w:pPr>
        <w:rPr>
          <w:szCs w:val="24"/>
        </w:rPr>
      </w:pPr>
    </w:p>
    <w:p w14:paraId="6B434825" w14:textId="77777777" w:rsidR="00C60BD6" w:rsidRPr="00A836B9" w:rsidRDefault="00C60BD6" w:rsidP="00C60BD6">
      <w:pPr>
        <w:rPr>
          <w:szCs w:val="24"/>
        </w:rPr>
      </w:pPr>
    </w:p>
    <w:p w14:paraId="0F33AE54" w14:textId="77777777" w:rsidR="00C60BD6" w:rsidRPr="00A836B9" w:rsidRDefault="00C60BD6" w:rsidP="00C60BD6">
      <w:pPr>
        <w:rPr>
          <w:szCs w:val="24"/>
        </w:rPr>
      </w:pPr>
    </w:p>
    <w:p w14:paraId="4CB37BCC" w14:textId="77777777" w:rsidR="00C60BD6" w:rsidRPr="00A836B9" w:rsidRDefault="00C60BD6" w:rsidP="00C60BD6">
      <w:pPr>
        <w:rPr>
          <w:szCs w:val="24"/>
        </w:rPr>
      </w:pPr>
    </w:p>
    <w:p w14:paraId="1CA10C31" w14:textId="77777777" w:rsidR="00C60BD6" w:rsidRPr="00A836B9" w:rsidRDefault="00C60BD6" w:rsidP="00C60BD6">
      <w:pPr>
        <w:jc w:val="right"/>
        <w:rPr>
          <w:szCs w:val="24"/>
        </w:rPr>
      </w:pPr>
    </w:p>
    <w:p w14:paraId="695D676D" w14:textId="77777777" w:rsidR="00C60BD6" w:rsidRPr="00A836B9" w:rsidRDefault="00C60BD6" w:rsidP="00C60BD6">
      <w:pPr>
        <w:jc w:val="right"/>
        <w:rPr>
          <w:szCs w:val="24"/>
        </w:rPr>
      </w:pPr>
    </w:p>
    <w:p w14:paraId="3F55A035" w14:textId="77777777" w:rsidR="00C60BD6" w:rsidRPr="00A836B9" w:rsidRDefault="00C60BD6" w:rsidP="00C60BD6">
      <w:pPr>
        <w:jc w:val="right"/>
        <w:rPr>
          <w:szCs w:val="24"/>
        </w:rPr>
      </w:pPr>
    </w:p>
    <w:p w14:paraId="52EFE267" w14:textId="77777777" w:rsidR="00C60BD6" w:rsidRPr="00A836B9" w:rsidRDefault="00C60BD6" w:rsidP="00C60BD6">
      <w:pPr>
        <w:jc w:val="right"/>
        <w:rPr>
          <w:szCs w:val="24"/>
        </w:rPr>
      </w:pPr>
    </w:p>
    <w:p w14:paraId="57CD5864" w14:textId="77777777" w:rsidR="00C60BD6" w:rsidRPr="00A836B9" w:rsidRDefault="00C60BD6" w:rsidP="00C60BD6">
      <w:pPr>
        <w:jc w:val="right"/>
        <w:rPr>
          <w:szCs w:val="24"/>
        </w:rPr>
      </w:pPr>
    </w:p>
    <w:p w14:paraId="7BC4DF66" w14:textId="77777777" w:rsidR="00C60BD6" w:rsidRPr="00A836B9" w:rsidRDefault="00C60BD6" w:rsidP="00C60BD6">
      <w:pPr>
        <w:jc w:val="right"/>
        <w:rPr>
          <w:szCs w:val="24"/>
        </w:rPr>
      </w:pPr>
      <w:r w:rsidRPr="00A836B9">
        <w:rPr>
          <w:noProof/>
          <w:szCs w:val="24"/>
        </w:rPr>
        <mc:AlternateContent>
          <mc:Choice Requires="wps">
            <w:drawing>
              <wp:anchor distT="0" distB="0" distL="114300" distR="114300" simplePos="0" relativeHeight="251654656" behindDoc="0" locked="0" layoutInCell="1" allowOverlap="1" wp14:anchorId="69AC33F6" wp14:editId="7EAE6E70">
                <wp:simplePos x="0" y="0"/>
                <wp:positionH relativeFrom="column">
                  <wp:posOffset>14605</wp:posOffset>
                </wp:positionH>
                <wp:positionV relativeFrom="paragraph">
                  <wp:posOffset>5487</wp:posOffset>
                </wp:positionV>
                <wp:extent cx="5473065" cy="7418717"/>
                <wp:effectExtent l="0" t="0" r="13335" b="1079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418717"/>
                        </a:xfrm>
                        <a:prstGeom prst="rect">
                          <a:avLst/>
                        </a:prstGeom>
                        <a:solidFill>
                          <a:srgbClr val="F2F2F2"/>
                        </a:solidFill>
                        <a:ln w="19050">
                          <a:solidFill>
                            <a:srgbClr val="BFBFBF"/>
                          </a:solidFill>
                          <a:miter lim="800000"/>
                          <a:headEnd/>
                          <a:tailEnd/>
                        </a:ln>
                      </wps:spPr>
                      <wps:txbx>
                        <w:txbxContent>
                          <w:p w14:paraId="1509B76B" w14:textId="714EA4C1" w:rsidR="004746B1" w:rsidRPr="00862B39" w:rsidRDefault="004746B1" w:rsidP="00C60BD6">
                            <w:pPr>
                              <w:numPr>
                                <w:ilvl w:val="0"/>
                                <w:numId w:val="11"/>
                              </w:numPr>
                              <w:spacing w:line="240" w:lineRule="auto"/>
                              <w:ind w:left="480" w:right="78"/>
                              <w:rPr>
                                <w:rFonts w:cs="Times New Roman"/>
                                <w:color w:val="595959"/>
                                <w:sz w:val="18"/>
                                <w:szCs w:val="18"/>
                              </w:rPr>
                            </w:pPr>
                            <w:r w:rsidRPr="00862B39">
                              <w:rPr>
                                <w:b/>
                                <w:color w:val="595959"/>
                                <w:sz w:val="18"/>
                                <w:szCs w:val="18"/>
                              </w:rPr>
                              <w:t xml:space="preserve">No-profit rule </w:t>
                            </w:r>
                            <w:r w:rsidRPr="00862B39">
                              <w:rPr>
                                <w:rFonts w:eastAsia="Calibri"/>
                                <w:b/>
                                <w:color w:val="595959"/>
                                <w:sz w:val="18"/>
                                <w:szCs w:val="18"/>
                              </w:rPr>
                              <w:t xml:space="preserve">— </w:t>
                            </w:r>
                            <w:r w:rsidRPr="00862B39">
                              <w:rPr>
                                <w:rFonts w:eastAsia="Calibri"/>
                                <w:color w:val="595959"/>
                                <w:sz w:val="18"/>
                                <w:szCs w:val="18"/>
                              </w:rPr>
                              <w:t>Grants may</w:t>
                            </w:r>
                            <w:r w:rsidRPr="00862B39">
                              <w:rPr>
                                <w:rFonts w:eastAsia="Calibri"/>
                                <w:b/>
                                <w:color w:val="595959"/>
                                <w:sz w:val="18"/>
                                <w:szCs w:val="18"/>
                              </w:rPr>
                              <w:t xml:space="preserve"> </w:t>
                            </w:r>
                            <w:r w:rsidRPr="00862B39">
                              <w:rPr>
                                <w:color w:val="595959"/>
                                <w:sz w:val="18"/>
                                <w:szCs w:val="18"/>
                              </w:rPr>
                              <w:t>NOT give a profit (i.e. surplus of revenues + EU grant over costs).</w:t>
                            </w:r>
                            <w:r w:rsidRPr="00862B39">
                              <w:rPr>
                                <w:rFonts w:eastAsia="Calibri"/>
                                <w:color w:val="595959"/>
                                <w:sz w:val="18"/>
                                <w:szCs w:val="18"/>
                              </w:rPr>
                              <w:t xml:space="preserve"> This will </w:t>
                            </w:r>
                            <w:r w:rsidRPr="00862B39">
                              <w:rPr>
                                <w:rFonts w:eastAsia="Calibri" w:cs="Times New Roman"/>
                                <w:color w:val="595959"/>
                                <w:sz w:val="18"/>
                                <w:szCs w:val="18"/>
                              </w:rPr>
                              <w:t xml:space="preserve">be checked by </w:t>
                            </w:r>
                            <w:r>
                              <w:rPr>
                                <w:rFonts w:eastAsia="Calibri" w:cs="Times New Roman"/>
                                <w:color w:val="595959"/>
                                <w:sz w:val="18"/>
                                <w:szCs w:val="18"/>
                              </w:rPr>
                              <w:t>the granting authority</w:t>
                            </w:r>
                            <w:r w:rsidRPr="00862B39">
                              <w:rPr>
                                <w:rFonts w:eastAsia="Calibri" w:cs="Times New Roman"/>
                                <w:color w:val="595959"/>
                                <w:sz w:val="18"/>
                                <w:szCs w:val="18"/>
                              </w:rPr>
                              <w:t xml:space="preserve"> at the end of the project.</w:t>
                            </w:r>
                          </w:p>
                          <w:p w14:paraId="30CE3FAA" w14:textId="0A5D8F0F" w:rsidR="004746B1" w:rsidRPr="00862B39" w:rsidRDefault="004746B1" w:rsidP="00C60BD6">
                            <w:pPr>
                              <w:numPr>
                                <w:ilvl w:val="0"/>
                                <w:numId w:val="11"/>
                              </w:numPr>
                              <w:spacing w:line="240" w:lineRule="auto"/>
                              <w:ind w:left="476" w:right="79" w:hanging="357"/>
                              <w:rPr>
                                <w:rFonts w:cs="Times New Roman"/>
                                <w:color w:val="595959"/>
                                <w:sz w:val="18"/>
                                <w:szCs w:val="18"/>
                              </w:rPr>
                            </w:pPr>
                            <w:r w:rsidRPr="00862B39">
                              <w:rPr>
                                <w:rFonts w:cs="Times New Roman"/>
                                <w:b/>
                                <w:color w:val="595959"/>
                                <w:sz w:val="18"/>
                                <w:szCs w:val="18"/>
                              </w:rPr>
                              <w:t>No double funding</w:t>
                            </w:r>
                            <w:r w:rsidRPr="00862B39">
                              <w:rPr>
                                <w:rFonts w:cs="Times New Roman"/>
                                <w:i/>
                                <w:color w:val="595959"/>
                                <w:sz w:val="18"/>
                                <w:szCs w:val="18"/>
                              </w:rPr>
                              <w:t xml:space="preserve"> </w:t>
                            </w:r>
                            <w:r w:rsidRPr="00862B39">
                              <w:rPr>
                                <w:rFonts w:eastAsia="Calibri" w:cs="Times New Roman"/>
                                <w:b/>
                                <w:color w:val="595959"/>
                                <w:sz w:val="18"/>
                                <w:szCs w:val="18"/>
                              </w:rPr>
                              <w:t xml:space="preserve">— </w:t>
                            </w:r>
                            <w:r w:rsidRPr="00862B39">
                              <w:rPr>
                                <w:rFonts w:cs="Times New Roman"/>
                                <w:noProof/>
                                <w:color w:val="595959"/>
                                <w:sz w:val="18"/>
                                <w:szCs w:val="18"/>
                              </w:rPr>
                              <w:t>Th</w:t>
                            </w:r>
                            <w:r>
                              <w:rPr>
                                <w:rFonts w:cs="Times New Roman"/>
                                <w:noProof/>
                                <w:color w:val="595959"/>
                                <w:sz w:val="18"/>
                                <w:szCs w:val="18"/>
                              </w:rPr>
                              <w:t xml:space="preserve">ere is strict prohibition of </w:t>
                            </w:r>
                            <w:r w:rsidRPr="00862B39">
                              <w:rPr>
                                <w:rFonts w:cs="Times New Roman"/>
                                <w:color w:val="595959"/>
                                <w:sz w:val="18"/>
                                <w:szCs w:val="18"/>
                              </w:rPr>
                              <w:t>double funding from the EU budget.</w:t>
                            </w:r>
                            <w:r w:rsidRPr="00862B39">
                              <w:rPr>
                                <w:rFonts w:cs="Times New Roman"/>
                                <w:sz w:val="18"/>
                                <w:szCs w:val="18"/>
                              </w:rPr>
                              <w:t xml:space="preserve"> </w:t>
                            </w:r>
                            <w:r>
                              <w:rPr>
                                <w:rFonts w:cs="Times New Roman"/>
                                <w:color w:val="595959"/>
                                <w:sz w:val="18"/>
                                <w:szCs w:val="18"/>
                              </w:rPr>
                              <w:t>A</w:t>
                            </w:r>
                            <w:r w:rsidRPr="006B6206">
                              <w:rPr>
                                <w:rFonts w:cs="Times New Roman"/>
                                <w:color w:val="595959"/>
                                <w:sz w:val="18"/>
                                <w:szCs w:val="18"/>
                              </w:rPr>
                              <w:t>ny given action may receive only ONE grant from the EU budget</w:t>
                            </w:r>
                            <w:r>
                              <w:rPr>
                                <w:rFonts w:cs="Times New Roman"/>
                                <w:color w:val="595959"/>
                                <w:sz w:val="18"/>
                                <w:szCs w:val="18"/>
                              </w:rPr>
                              <w:t xml:space="preserve"> (except for EU Synergy grants)</w:t>
                            </w:r>
                            <w:r w:rsidRPr="006B6206">
                              <w:rPr>
                                <w:rFonts w:cs="Times New Roman"/>
                                <w:color w:val="595959"/>
                                <w:sz w:val="18"/>
                                <w:szCs w:val="18"/>
                              </w:rPr>
                              <w:t xml:space="preserve"> and cost</w:t>
                            </w:r>
                            <w:r>
                              <w:rPr>
                                <w:rFonts w:cs="Times New Roman"/>
                                <w:color w:val="595959"/>
                                <w:sz w:val="18"/>
                                <w:szCs w:val="18"/>
                              </w:rPr>
                              <w:t>s</w:t>
                            </w:r>
                            <w:r w:rsidRPr="006B6206">
                              <w:rPr>
                                <w:rFonts w:cs="Times New Roman"/>
                                <w:color w:val="595959"/>
                                <w:sz w:val="18"/>
                                <w:szCs w:val="18"/>
                              </w:rPr>
                              <w:t xml:space="preserve"> may under NO circumstances </w:t>
                            </w:r>
                            <w:r>
                              <w:rPr>
                                <w:rFonts w:cs="Times New Roman"/>
                                <w:color w:val="595959"/>
                                <w:sz w:val="18"/>
                                <w:szCs w:val="18"/>
                              </w:rPr>
                              <w:t xml:space="preserve">be </w:t>
                            </w:r>
                            <w:r w:rsidRPr="006B6206">
                              <w:rPr>
                                <w:rFonts w:cs="Times New Roman"/>
                                <w:color w:val="595959"/>
                                <w:sz w:val="18"/>
                                <w:szCs w:val="18"/>
                              </w:rPr>
                              <w:t>declared to two different EU actions</w:t>
                            </w:r>
                            <w:r w:rsidRPr="00862B39">
                              <w:rPr>
                                <w:rFonts w:cs="Times New Roman"/>
                                <w:color w:val="595959"/>
                                <w:sz w:val="18"/>
                                <w:szCs w:val="18"/>
                              </w:rPr>
                              <w:t xml:space="preserve">. </w:t>
                            </w:r>
                          </w:p>
                          <w:p w14:paraId="736D34A5" w14:textId="1858D520" w:rsidR="004746B1" w:rsidRPr="00862B39" w:rsidRDefault="004746B1" w:rsidP="00C60BD6">
                            <w:pPr>
                              <w:numPr>
                                <w:ilvl w:val="0"/>
                                <w:numId w:val="11"/>
                              </w:numPr>
                              <w:spacing w:line="240" w:lineRule="auto"/>
                              <w:ind w:left="480" w:right="79"/>
                              <w:rPr>
                                <w:rFonts w:cs="Times New Roman"/>
                                <w:color w:val="595959"/>
                                <w:sz w:val="18"/>
                                <w:szCs w:val="18"/>
                              </w:rPr>
                            </w:pPr>
                            <w:r w:rsidRPr="00862B39">
                              <w:rPr>
                                <w:rFonts w:cs="Times New Roman"/>
                                <w:b/>
                                <w:bCs/>
                                <w:noProof/>
                                <w:color w:val="595959"/>
                                <w:sz w:val="18"/>
                                <w:szCs w:val="18"/>
                              </w:rPr>
                              <w:t xml:space="preserve">Combination with EU operating grants </w:t>
                            </w:r>
                            <w:r w:rsidRPr="00862B39">
                              <w:rPr>
                                <w:rFonts w:eastAsia="Calibri" w:cs="Times New Roman"/>
                                <w:b/>
                                <w:color w:val="595959"/>
                                <w:sz w:val="18"/>
                                <w:szCs w:val="18"/>
                              </w:rPr>
                              <w:t xml:space="preserve">— </w:t>
                            </w:r>
                            <w:r w:rsidRPr="00862B39">
                              <w:rPr>
                                <w:rFonts w:eastAsia="Calibri" w:cs="Times New Roman"/>
                                <w:color w:val="595959"/>
                                <w:sz w:val="18"/>
                                <w:szCs w:val="18"/>
                              </w:rPr>
                              <w:t xml:space="preserve">Combination with EU operating grants is </w:t>
                            </w:r>
                            <w:r w:rsidRPr="00862B39">
                              <w:rPr>
                                <w:rFonts w:cs="Times New Roman"/>
                                <w:color w:val="595959"/>
                                <w:sz w:val="18"/>
                                <w:szCs w:val="18"/>
                              </w:rPr>
                              <w:t xml:space="preserve">possible, if the project remains outside the operating grant work programme and </w:t>
                            </w:r>
                            <w:r>
                              <w:rPr>
                                <w:rFonts w:cs="Times New Roman"/>
                                <w:color w:val="595959"/>
                                <w:sz w:val="18"/>
                                <w:szCs w:val="18"/>
                              </w:rPr>
                              <w:t>the beneficiary</w:t>
                            </w:r>
                            <w:r w:rsidRPr="00862B39">
                              <w:rPr>
                                <w:rFonts w:cs="Times New Roman"/>
                                <w:color w:val="595959"/>
                                <w:sz w:val="18"/>
                                <w:szCs w:val="18"/>
                              </w:rPr>
                              <w:t xml:space="preserve"> make</w:t>
                            </w:r>
                            <w:r>
                              <w:rPr>
                                <w:rFonts w:cs="Times New Roman"/>
                                <w:color w:val="595959"/>
                                <w:sz w:val="18"/>
                                <w:szCs w:val="18"/>
                              </w:rPr>
                              <w:t>s</w:t>
                            </w:r>
                            <w:r w:rsidRPr="00862B39">
                              <w:rPr>
                                <w:rFonts w:cs="Times New Roman"/>
                                <w:color w:val="595959"/>
                                <w:sz w:val="18"/>
                                <w:szCs w:val="18"/>
                              </w:rPr>
                              <w:t xml:space="preserve"> sure that cost items are clearly separated in </w:t>
                            </w:r>
                            <w:r>
                              <w:rPr>
                                <w:rFonts w:cs="Times New Roman"/>
                                <w:color w:val="595959"/>
                                <w:sz w:val="18"/>
                                <w:szCs w:val="18"/>
                              </w:rPr>
                              <w:t>its</w:t>
                            </w:r>
                            <w:r w:rsidRPr="00862B39">
                              <w:rPr>
                                <w:rFonts w:cs="Times New Roman"/>
                                <w:color w:val="595959"/>
                                <w:sz w:val="18"/>
                                <w:szCs w:val="18"/>
                              </w:rPr>
                              <w:t xml:space="preserve"> accounting and NOT declared twice </w:t>
                            </w:r>
                            <w:r w:rsidRPr="00862B39">
                              <w:rPr>
                                <w:rFonts w:cs="Times New Roman"/>
                                <w:i/>
                                <w:color w:val="595959"/>
                                <w:sz w:val="18"/>
                                <w:szCs w:val="18"/>
                              </w:rPr>
                              <w:t xml:space="preserve">(see </w:t>
                            </w:r>
                            <w:hyperlink r:id="rId31" w:history="1">
                              <w:r w:rsidRPr="004E0D0B">
                                <w:rPr>
                                  <w:rStyle w:val="Hyperlink"/>
                                  <w:i/>
                                  <w:sz w:val="18"/>
                                  <w:szCs w:val="18"/>
                                </w:rPr>
                                <w:t xml:space="preserve">AGA </w:t>
                              </w:r>
                              <w:r w:rsidRPr="004E0D0B">
                                <w:rPr>
                                  <w:rStyle w:val="Hyperlink"/>
                                  <w:rFonts w:eastAsia="Calibri"/>
                                  <w:i/>
                                  <w:sz w:val="18"/>
                                  <w:szCs w:val="18"/>
                                </w:rPr>
                                <w:t>— Annotated Model Grant Agreement, art</w:t>
                              </w:r>
                              <w:r>
                                <w:rPr>
                                  <w:rStyle w:val="Hyperlink"/>
                                  <w:rFonts w:eastAsia="Calibri"/>
                                  <w:i/>
                                  <w:sz w:val="18"/>
                                  <w:szCs w:val="18"/>
                                </w:rPr>
                                <w:t>icle</w:t>
                              </w:r>
                              <w:r w:rsidRPr="004E0D0B">
                                <w:rPr>
                                  <w:rStyle w:val="Hyperlink"/>
                                  <w:rFonts w:eastAsia="Calibri"/>
                                  <w:i/>
                                  <w:sz w:val="18"/>
                                  <w:szCs w:val="18"/>
                                </w:rPr>
                                <w:t xml:space="preserve"> 6.2.E</w:t>
                              </w:r>
                            </w:hyperlink>
                            <w:r w:rsidRPr="00862B39">
                              <w:rPr>
                                <w:rFonts w:eastAsia="Calibri" w:cs="Times New Roman"/>
                                <w:i/>
                                <w:color w:val="595959"/>
                                <w:sz w:val="18"/>
                                <w:szCs w:val="18"/>
                              </w:rPr>
                              <w:t>)</w:t>
                            </w:r>
                            <w:r w:rsidRPr="00862B39">
                              <w:rPr>
                                <w:rFonts w:cs="Times New Roman"/>
                                <w:i/>
                                <w:color w:val="595959"/>
                                <w:sz w:val="18"/>
                                <w:szCs w:val="18"/>
                              </w:rPr>
                              <w:t>.</w:t>
                            </w:r>
                            <w:r w:rsidRPr="006B6206">
                              <w:rPr>
                                <w:rFonts w:cs="Times New Roman"/>
                                <w:color w:val="4AA55B"/>
                                <w:sz w:val="18"/>
                                <w:szCs w:val="18"/>
                              </w:rPr>
                              <w:t xml:space="preserve"> </w:t>
                            </w:r>
                          </w:p>
                          <w:p w14:paraId="3F89A09E" w14:textId="4245DD29" w:rsidR="004746B1" w:rsidRPr="00862B39" w:rsidRDefault="004746B1" w:rsidP="00C60BD6">
                            <w:pPr>
                              <w:numPr>
                                <w:ilvl w:val="0"/>
                                <w:numId w:val="11"/>
                              </w:numPr>
                              <w:spacing w:after="120" w:line="240" w:lineRule="auto"/>
                              <w:ind w:left="480" w:right="79"/>
                              <w:rPr>
                                <w:rFonts w:cs="Times New Roman"/>
                                <w:color w:val="595959"/>
                                <w:sz w:val="18"/>
                                <w:szCs w:val="18"/>
                              </w:rPr>
                            </w:pPr>
                            <w:r w:rsidRPr="00862B39">
                              <w:rPr>
                                <w:rFonts w:cs="Times New Roman"/>
                                <w:b/>
                                <w:color w:val="595959"/>
                                <w:sz w:val="18"/>
                                <w:szCs w:val="18"/>
                              </w:rPr>
                              <w:t xml:space="preserve">Multiple </w:t>
                            </w:r>
                            <w:r>
                              <w:rPr>
                                <w:rFonts w:cs="Times New Roman"/>
                                <w:b/>
                                <w:color w:val="595959"/>
                                <w:sz w:val="18"/>
                                <w:szCs w:val="18"/>
                              </w:rPr>
                              <w:t>application</w:t>
                            </w:r>
                            <w:r w:rsidRPr="00862B39">
                              <w:rPr>
                                <w:rFonts w:cs="Times New Roman"/>
                                <w:b/>
                                <w:color w:val="595959"/>
                                <w:sz w:val="18"/>
                                <w:szCs w:val="18"/>
                              </w:rPr>
                              <w:t>s</w:t>
                            </w:r>
                            <w:r w:rsidRPr="00862B39">
                              <w:rPr>
                                <w:rFonts w:cs="Times New Roman"/>
                                <w:color w:val="595959"/>
                                <w:sz w:val="18"/>
                                <w:szCs w:val="18"/>
                              </w:rPr>
                              <w:t xml:space="preserve"> </w:t>
                            </w:r>
                            <w:r w:rsidRPr="00862B39">
                              <w:rPr>
                                <w:rFonts w:eastAsia="Calibri" w:cs="Times New Roman"/>
                                <w:b/>
                                <w:color w:val="595959"/>
                                <w:sz w:val="18"/>
                                <w:szCs w:val="18"/>
                              </w:rPr>
                              <w:t>—</w:t>
                            </w:r>
                            <w:r w:rsidRPr="00862B39">
                              <w:rPr>
                                <w:rFonts w:eastAsia="Calibri" w:cs="Times New Roman"/>
                                <w:color w:val="595959"/>
                                <w:sz w:val="18"/>
                                <w:szCs w:val="18"/>
                              </w:rPr>
                              <w:t xml:space="preserve"> A</w:t>
                            </w:r>
                            <w:r w:rsidRPr="00862B39">
                              <w:rPr>
                                <w:rFonts w:cs="Times New Roman"/>
                                <w:color w:val="595959"/>
                                <w:sz w:val="18"/>
                                <w:szCs w:val="18"/>
                              </w:rPr>
                              <w:t xml:space="preserve">pplicants may submit more than one </w:t>
                            </w:r>
                            <w:r>
                              <w:rPr>
                                <w:rFonts w:cs="Times New Roman"/>
                                <w:color w:val="595959"/>
                                <w:sz w:val="18"/>
                                <w:szCs w:val="18"/>
                              </w:rPr>
                              <w:t>application</w:t>
                            </w:r>
                            <w:r w:rsidRPr="00862B39">
                              <w:rPr>
                                <w:rFonts w:cs="Times New Roman"/>
                                <w:color w:val="595959"/>
                                <w:sz w:val="18"/>
                                <w:szCs w:val="18"/>
                              </w:rPr>
                              <w:t xml:space="preserve"> for </w:t>
                            </w:r>
                            <w:r w:rsidRPr="00862B39">
                              <w:rPr>
                                <w:rFonts w:cs="Times New Roman"/>
                                <w:i/>
                                <w:color w:val="595959"/>
                                <w:sz w:val="18"/>
                                <w:szCs w:val="18"/>
                              </w:rPr>
                              <w:t>different</w:t>
                            </w:r>
                            <w:r w:rsidRPr="00862B39">
                              <w:rPr>
                                <w:rFonts w:cs="Times New Roman"/>
                                <w:color w:val="595959"/>
                                <w:sz w:val="18"/>
                                <w:szCs w:val="18"/>
                              </w:rPr>
                              <w:t xml:space="preserve"> projects under the same call (and be awarded funding for them).</w:t>
                            </w:r>
                          </w:p>
                          <w:p w14:paraId="1DE39ED9" w14:textId="77777777" w:rsidR="004746B1" w:rsidRPr="00862B39" w:rsidRDefault="004746B1" w:rsidP="00C60BD6">
                            <w:pPr>
                              <w:spacing w:after="120"/>
                              <w:ind w:left="480" w:right="79"/>
                              <w:rPr>
                                <w:rFonts w:cs="Times New Roman"/>
                                <w:color w:val="595959"/>
                                <w:sz w:val="18"/>
                                <w:szCs w:val="18"/>
                              </w:rPr>
                            </w:pPr>
                            <w:r w:rsidRPr="00862B39">
                              <w:rPr>
                                <w:rFonts w:cs="Times New Roman"/>
                                <w:color w:val="595959"/>
                                <w:sz w:val="18"/>
                                <w:szCs w:val="18"/>
                              </w:rPr>
                              <w:t xml:space="preserve">Organisations may participate in several </w:t>
                            </w:r>
                            <w:r>
                              <w:rPr>
                                <w:rFonts w:cs="Times New Roman"/>
                                <w:color w:val="595959"/>
                                <w:sz w:val="18"/>
                                <w:szCs w:val="18"/>
                              </w:rPr>
                              <w:t>application</w:t>
                            </w:r>
                            <w:r w:rsidRPr="00862B39">
                              <w:rPr>
                                <w:rFonts w:cs="Times New Roman"/>
                                <w:color w:val="595959"/>
                                <w:sz w:val="18"/>
                                <w:szCs w:val="18"/>
                              </w:rPr>
                              <w:t>s.</w:t>
                            </w:r>
                          </w:p>
                          <w:p w14:paraId="4051AF51" w14:textId="5181CFF7" w:rsidR="004746B1" w:rsidRPr="00862B39" w:rsidRDefault="004746B1" w:rsidP="00C60BD6">
                            <w:pPr>
                              <w:ind w:left="480" w:right="79"/>
                              <w:rPr>
                                <w:rFonts w:cs="Times New Roman"/>
                                <w:color w:val="595959"/>
                                <w:sz w:val="18"/>
                                <w:szCs w:val="18"/>
                              </w:rPr>
                            </w:pPr>
                            <w:r w:rsidRPr="00862B39">
                              <w:rPr>
                                <w:rFonts w:cs="Times New Roman"/>
                                <w:color w:val="595959"/>
                                <w:sz w:val="18"/>
                                <w:szCs w:val="18"/>
                              </w:rPr>
                              <w:t xml:space="preserve">BUT: if </w:t>
                            </w:r>
                            <w:r>
                              <w:rPr>
                                <w:rFonts w:cs="Times New Roman"/>
                                <w:color w:val="595959"/>
                                <w:sz w:val="18"/>
                                <w:szCs w:val="18"/>
                              </w:rPr>
                              <w:t xml:space="preserve">there </w:t>
                            </w:r>
                            <w:r w:rsidRPr="00862B39">
                              <w:rPr>
                                <w:rFonts w:cs="Times New Roman"/>
                                <w:color w:val="595959"/>
                                <w:sz w:val="18"/>
                                <w:szCs w:val="18"/>
                              </w:rPr>
                              <w:t xml:space="preserve">are several </w:t>
                            </w:r>
                            <w:r>
                              <w:rPr>
                                <w:rFonts w:cs="Times New Roman"/>
                                <w:color w:val="595959"/>
                                <w:sz w:val="18"/>
                                <w:szCs w:val="18"/>
                              </w:rPr>
                              <w:t>application</w:t>
                            </w:r>
                            <w:r w:rsidRPr="00862B39">
                              <w:rPr>
                                <w:rFonts w:cs="Times New Roman"/>
                                <w:color w:val="595959"/>
                                <w:sz w:val="18"/>
                                <w:szCs w:val="18"/>
                              </w:rPr>
                              <w:t xml:space="preserve">s for the </w:t>
                            </w:r>
                            <w:r w:rsidRPr="00862B39">
                              <w:rPr>
                                <w:rFonts w:cs="Times New Roman"/>
                                <w:i/>
                                <w:color w:val="595959"/>
                                <w:sz w:val="18"/>
                                <w:szCs w:val="18"/>
                              </w:rPr>
                              <w:t>same/very similar</w:t>
                            </w:r>
                            <w:r w:rsidRPr="00862B39">
                              <w:rPr>
                                <w:rFonts w:cs="Times New Roman"/>
                                <w:color w:val="595959"/>
                                <w:sz w:val="18"/>
                                <w:szCs w:val="18"/>
                              </w:rPr>
                              <w:t xml:space="preserve"> project, only one </w:t>
                            </w:r>
                            <w:r>
                              <w:rPr>
                                <w:rFonts w:cs="Times New Roman"/>
                                <w:color w:val="595959"/>
                                <w:sz w:val="18"/>
                                <w:szCs w:val="18"/>
                              </w:rPr>
                              <w:t>application</w:t>
                            </w:r>
                            <w:r w:rsidRPr="00862B39">
                              <w:rPr>
                                <w:rFonts w:cs="Times New Roman"/>
                                <w:color w:val="595959"/>
                                <w:sz w:val="18"/>
                                <w:szCs w:val="18"/>
                              </w:rPr>
                              <w:t xml:space="preserve"> will be accepted and evaluated; the applicants will be asked to withdraw</w:t>
                            </w:r>
                            <w:r w:rsidRPr="00862B39">
                              <w:rPr>
                                <w:rFonts w:cs="Times New Roman"/>
                                <w:color w:val="7F7F7F"/>
                                <w:sz w:val="18"/>
                                <w:szCs w:val="18"/>
                              </w:rPr>
                              <w:t xml:space="preserve"> </w:t>
                            </w:r>
                            <w:r w:rsidRPr="00862B39">
                              <w:rPr>
                                <w:rFonts w:cs="Times New Roman"/>
                                <w:color w:val="595959"/>
                                <w:sz w:val="18"/>
                                <w:szCs w:val="18"/>
                              </w:rPr>
                              <w:t>one of them (or it will be rejected).</w:t>
                            </w:r>
                          </w:p>
                          <w:p w14:paraId="18BF9104" w14:textId="0D4235E7" w:rsidR="004746B1" w:rsidRPr="006B6206" w:rsidRDefault="004746B1" w:rsidP="00C60BD6">
                            <w:pPr>
                              <w:numPr>
                                <w:ilvl w:val="0"/>
                                <w:numId w:val="11"/>
                              </w:numPr>
                              <w:spacing w:line="240" w:lineRule="auto"/>
                              <w:ind w:left="480" w:right="79"/>
                              <w:rPr>
                                <w:rFonts w:cs="Times New Roman"/>
                                <w:color w:val="595959"/>
                                <w:sz w:val="18"/>
                                <w:szCs w:val="18"/>
                              </w:rPr>
                            </w:pPr>
                            <w:r w:rsidRPr="00862B39">
                              <w:rPr>
                                <w:rFonts w:cs="Times New Roman"/>
                                <w:b/>
                                <w:color w:val="595959"/>
                                <w:sz w:val="18"/>
                                <w:szCs w:val="18"/>
                              </w:rPr>
                              <w:t>Language</w:t>
                            </w:r>
                            <w:r w:rsidRPr="00862B39">
                              <w:rPr>
                                <w:rFonts w:cs="Times New Roman"/>
                                <w:color w:val="595959"/>
                                <w:sz w:val="18"/>
                                <w:szCs w:val="18"/>
                              </w:rPr>
                              <w:t xml:space="preserve"> </w:t>
                            </w:r>
                            <w:r w:rsidRPr="00862B39">
                              <w:rPr>
                                <w:rFonts w:eastAsia="Calibri" w:cs="Times New Roman"/>
                                <w:b/>
                                <w:color w:val="595959"/>
                                <w:sz w:val="18"/>
                                <w:szCs w:val="18"/>
                              </w:rPr>
                              <w:t>—</w:t>
                            </w:r>
                            <w:r w:rsidRPr="00862B39">
                              <w:rPr>
                                <w:rFonts w:eastAsia="Calibri" w:cs="Times New Roman"/>
                                <w:color w:val="595959"/>
                                <w:sz w:val="18"/>
                                <w:szCs w:val="18"/>
                              </w:rPr>
                              <w:t xml:space="preserve"> </w:t>
                            </w:r>
                            <w:r>
                              <w:rPr>
                                <w:rFonts w:cs="Times New Roman"/>
                                <w:color w:val="595959"/>
                                <w:sz w:val="18"/>
                                <w:szCs w:val="18"/>
                              </w:rPr>
                              <w:t>Applicants</w:t>
                            </w:r>
                            <w:r w:rsidRPr="006B6206">
                              <w:rPr>
                                <w:rFonts w:cs="Times New Roman"/>
                                <w:color w:val="595959"/>
                                <w:sz w:val="18"/>
                                <w:szCs w:val="18"/>
                              </w:rPr>
                              <w:t xml:space="preserve"> can submit </w:t>
                            </w:r>
                            <w:r>
                              <w:rPr>
                                <w:rFonts w:cs="Times New Roman"/>
                                <w:color w:val="595959"/>
                                <w:sz w:val="18"/>
                                <w:szCs w:val="18"/>
                              </w:rPr>
                              <w:t>their</w:t>
                            </w:r>
                            <w:r w:rsidRPr="006B6206">
                              <w:rPr>
                                <w:rFonts w:cs="Times New Roman"/>
                                <w:color w:val="595959"/>
                                <w:sz w:val="18"/>
                                <w:szCs w:val="18"/>
                              </w:rPr>
                              <w:t xml:space="preserve"> </w:t>
                            </w:r>
                            <w:r>
                              <w:rPr>
                                <w:rFonts w:cs="Times New Roman"/>
                                <w:color w:val="595959"/>
                                <w:sz w:val="18"/>
                                <w:szCs w:val="18"/>
                              </w:rPr>
                              <w:t>application</w:t>
                            </w:r>
                            <w:r w:rsidRPr="006B6206">
                              <w:rPr>
                                <w:rFonts w:cs="Times New Roman"/>
                                <w:color w:val="595959"/>
                                <w:sz w:val="18"/>
                                <w:szCs w:val="18"/>
                              </w:rPr>
                              <w:t xml:space="preserve"> in any official EU language. However, for reasons of efficiency, </w:t>
                            </w:r>
                            <w:r>
                              <w:rPr>
                                <w:rFonts w:cs="Times New Roman"/>
                                <w:color w:val="595959"/>
                                <w:sz w:val="18"/>
                                <w:szCs w:val="18"/>
                              </w:rPr>
                              <w:t>it is</w:t>
                            </w:r>
                            <w:r w:rsidRPr="006B6206">
                              <w:rPr>
                                <w:rFonts w:cs="Times New Roman"/>
                                <w:color w:val="595959"/>
                                <w:sz w:val="18"/>
                                <w:szCs w:val="18"/>
                              </w:rPr>
                              <w:t xml:space="preserve"> strongly advise</w:t>
                            </w:r>
                            <w:r>
                              <w:rPr>
                                <w:rFonts w:cs="Times New Roman"/>
                                <w:color w:val="595959"/>
                                <w:sz w:val="18"/>
                                <w:szCs w:val="18"/>
                              </w:rPr>
                              <w:t>d</w:t>
                            </w:r>
                            <w:r w:rsidRPr="006B6206">
                              <w:rPr>
                                <w:rFonts w:cs="Times New Roman"/>
                                <w:color w:val="595959"/>
                                <w:sz w:val="18"/>
                                <w:szCs w:val="18"/>
                              </w:rPr>
                              <w:t xml:space="preserve"> to use English. If </w:t>
                            </w:r>
                            <w:r>
                              <w:rPr>
                                <w:rFonts w:cs="Times New Roman"/>
                                <w:color w:val="595959"/>
                                <w:sz w:val="18"/>
                                <w:szCs w:val="18"/>
                              </w:rPr>
                              <w:t>applicants</w:t>
                            </w:r>
                            <w:r w:rsidRPr="006B6206">
                              <w:rPr>
                                <w:rFonts w:cs="Times New Roman"/>
                                <w:color w:val="595959"/>
                                <w:sz w:val="18"/>
                                <w:szCs w:val="18"/>
                              </w:rPr>
                              <w:t xml:space="preserve"> need the call documentation in another official EU language, </w:t>
                            </w:r>
                            <w:r>
                              <w:rPr>
                                <w:rFonts w:cs="Times New Roman"/>
                                <w:color w:val="595959"/>
                                <w:sz w:val="18"/>
                                <w:szCs w:val="18"/>
                              </w:rPr>
                              <w:t>they must</w:t>
                            </w:r>
                            <w:r w:rsidRPr="006B6206">
                              <w:rPr>
                                <w:rFonts w:cs="Times New Roman"/>
                                <w:color w:val="595959"/>
                                <w:sz w:val="18"/>
                                <w:szCs w:val="18"/>
                              </w:rPr>
                              <w:t xml:space="preserve"> submit a request within 10 days after publication </w:t>
                            </w:r>
                            <w:r>
                              <w:rPr>
                                <w:rFonts w:cs="Times New Roman"/>
                                <w:color w:val="595959"/>
                                <w:sz w:val="18"/>
                                <w:szCs w:val="18"/>
                              </w:rPr>
                              <w:t xml:space="preserve">of the call </w:t>
                            </w:r>
                            <w:r w:rsidRPr="006B6206">
                              <w:rPr>
                                <w:rFonts w:cs="Times New Roman"/>
                                <w:color w:val="595959"/>
                                <w:sz w:val="18"/>
                                <w:szCs w:val="18"/>
                              </w:rPr>
                              <w:t xml:space="preserve">(for the contact information, </w:t>
                            </w:r>
                            <w:r w:rsidRPr="00862B39">
                              <w:rPr>
                                <w:rFonts w:cs="Times New Roman"/>
                                <w:i/>
                                <w:color w:val="595959"/>
                                <w:sz w:val="18"/>
                                <w:szCs w:val="18"/>
                              </w:rPr>
                              <w:t xml:space="preserve">see </w:t>
                            </w:r>
                            <w:r>
                              <w:rPr>
                                <w:rFonts w:cs="Times New Roman"/>
                                <w:i/>
                                <w:color w:val="595959"/>
                                <w:sz w:val="18"/>
                                <w:szCs w:val="18"/>
                              </w:rPr>
                              <w:t>topic page</w:t>
                            </w:r>
                            <w:r w:rsidRPr="006B6206">
                              <w:rPr>
                                <w:rFonts w:cs="Times New Roman"/>
                                <w:color w:val="595959"/>
                                <w:sz w:val="18"/>
                                <w:szCs w:val="18"/>
                              </w:rPr>
                              <w:t>).</w:t>
                            </w:r>
                          </w:p>
                          <w:p w14:paraId="082B1116" w14:textId="401AA7C0" w:rsidR="004746B1" w:rsidRPr="00862B39" w:rsidRDefault="004746B1" w:rsidP="00C60BD6">
                            <w:pPr>
                              <w:numPr>
                                <w:ilvl w:val="0"/>
                                <w:numId w:val="11"/>
                              </w:numPr>
                              <w:spacing w:line="240" w:lineRule="auto"/>
                              <w:ind w:left="480" w:right="79"/>
                              <w:rPr>
                                <w:rFonts w:cs="Times New Roman"/>
                                <w:b/>
                                <w:bCs/>
                                <w:noProof/>
                                <w:sz w:val="18"/>
                                <w:szCs w:val="18"/>
                              </w:rPr>
                            </w:pPr>
                            <w:r w:rsidRPr="00862B39">
                              <w:rPr>
                                <w:rFonts w:cs="Times New Roman"/>
                                <w:b/>
                                <w:color w:val="595959"/>
                                <w:sz w:val="18"/>
                                <w:szCs w:val="18"/>
                              </w:rPr>
                              <w:t xml:space="preserve">Rejection </w:t>
                            </w:r>
                            <w:r w:rsidRPr="00862B39">
                              <w:rPr>
                                <w:rFonts w:eastAsia="Calibri" w:cs="Times New Roman"/>
                                <w:b/>
                                <w:color w:val="595959"/>
                                <w:sz w:val="18"/>
                                <w:szCs w:val="18"/>
                              </w:rPr>
                              <w:t xml:space="preserve">— </w:t>
                            </w:r>
                            <w:r w:rsidRPr="00862B39">
                              <w:rPr>
                                <w:rFonts w:cs="Times New Roman"/>
                                <w:color w:val="595959"/>
                                <w:sz w:val="18"/>
                                <w:szCs w:val="18"/>
                              </w:rPr>
                              <w:t xml:space="preserve">By submitting the </w:t>
                            </w:r>
                            <w:r>
                              <w:rPr>
                                <w:rFonts w:cs="Times New Roman"/>
                                <w:color w:val="595959"/>
                                <w:sz w:val="18"/>
                                <w:szCs w:val="18"/>
                              </w:rPr>
                              <w:t>application</w:t>
                            </w:r>
                            <w:r w:rsidRPr="00862B39">
                              <w:rPr>
                                <w:rFonts w:cs="Times New Roman"/>
                                <w:color w:val="595959"/>
                                <w:sz w:val="18"/>
                                <w:szCs w:val="18"/>
                              </w:rPr>
                              <w:t xml:space="preserve">, all applicants accept the </w:t>
                            </w:r>
                            <w:r>
                              <w:rPr>
                                <w:rFonts w:cs="Times New Roman"/>
                                <w:color w:val="595959"/>
                                <w:sz w:val="18"/>
                                <w:szCs w:val="18"/>
                              </w:rPr>
                              <w:t xml:space="preserve">general </w:t>
                            </w:r>
                            <w:r w:rsidRPr="00862B39">
                              <w:rPr>
                                <w:rFonts w:cs="Times New Roman"/>
                                <w:color w:val="595959"/>
                                <w:sz w:val="18"/>
                                <w:szCs w:val="18"/>
                              </w:rPr>
                              <w:t xml:space="preserve">call conditions set out in </w:t>
                            </w:r>
                            <w:r>
                              <w:rPr>
                                <w:rFonts w:cs="Times New Roman"/>
                                <w:color w:val="595959"/>
                                <w:sz w:val="18"/>
                                <w:szCs w:val="18"/>
                              </w:rPr>
                              <w:t>the General Annexes and the specific call conditions set out in the topics</w:t>
                            </w:r>
                            <w:r w:rsidRPr="00862B39">
                              <w:rPr>
                                <w:rFonts w:cs="Times New Roman"/>
                                <w:color w:val="595959"/>
                                <w:sz w:val="18"/>
                                <w:szCs w:val="18"/>
                              </w:rPr>
                              <w:t xml:space="preserve">. </w:t>
                            </w:r>
                            <w:r>
                              <w:rPr>
                                <w:rFonts w:cs="Times New Roman"/>
                                <w:color w:val="595959"/>
                                <w:sz w:val="18"/>
                                <w:szCs w:val="18"/>
                              </w:rPr>
                              <w:t>Application</w:t>
                            </w:r>
                            <w:r w:rsidRPr="00862B39">
                              <w:rPr>
                                <w:rFonts w:cs="Times New Roman"/>
                                <w:color w:val="595959"/>
                                <w:sz w:val="18"/>
                                <w:szCs w:val="18"/>
                              </w:rPr>
                              <w:t xml:space="preserve">s that do not comply with all the call conditions will be </w:t>
                            </w:r>
                            <w:r w:rsidRPr="00862B39">
                              <w:rPr>
                                <w:rFonts w:cs="Times New Roman"/>
                                <w:b/>
                                <w:color w:val="595959"/>
                                <w:sz w:val="18"/>
                                <w:szCs w:val="18"/>
                              </w:rPr>
                              <w:t>rejected</w:t>
                            </w:r>
                            <w:r w:rsidRPr="00862B39">
                              <w:rPr>
                                <w:rFonts w:cs="Times New Roman"/>
                                <w:color w:val="595959"/>
                                <w:sz w:val="18"/>
                                <w:szCs w:val="18"/>
                              </w:rPr>
                              <w:t xml:space="preserve">. This applies also to applicants: </w:t>
                            </w:r>
                            <w:r>
                              <w:rPr>
                                <w:rFonts w:cs="Times New Roman"/>
                                <w:color w:val="595959"/>
                                <w:sz w:val="18"/>
                                <w:szCs w:val="18"/>
                              </w:rPr>
                              <w:t>a</w:t>
                            </w:r>
                            <w:r w:rsidRPr="00862B39">
                              <w:rPr>
                                <w:rFonts w:cs="Times New Roman"/>
                                <w:color w:val="595959"/>
                                <w:sz w:val="18"/>
                                <w:szCs w:val="18"/>
                              </w:rPr>
                              <w:t>ll applicants need to fulfil the criteria; if any one of them does</w:t>
                            </w:r>
                            <w:r>
                              <w:rPr>
                                <w:rFonts w:cs="Times New Roman"/>
                                <w:color w:val="595959"/>
                                <w:sz w:val="18"/>
                                <w:szCs w:val="18"/>
                              </w:rPr>
                              <w:t xml:space="preserve"> </w:t>
                            </w:r>
                            <w:r w:rsidRPr="00862B39">
                              <w:rPr>
                                <w:rFonts w:cs="Times New Roman"/>
                                <w:color w:val="595959"/>
                                <w:sz w:val="18"/>
                                <w:szCs w:val="18"/>
                              </w:rPr>
                              <w:t>n</w:t>
                            </w:r>
                            <w:r>
                              <w:rPr>
                                <w:rFonts w:cs="Times New Roman"/>
                                <w:color w:val="595959"/>
                                <w:sz w:val="18"/>
                                <w:szCs w:val="18"/>
                              </w:rPr>
                              <w:t>o</w:t>
                            </w:r>
                            <w:r w:rsidRPr="00862B39">
                              <w:rPr>
                                <w:rFonts w:cs="Times New Roman"/>
                                <w:color w:val="595959"/>
                                <w:sz w:val="18"/>
                                <w:szCs w:val="18"/>
                              </w:rPr>
                              <w:t xml:space="preserve">t, they must be replaced or the entire </w:t>
                            </w:r>
                            <w:r>
                              <w:rPr>
                                <w:rFonts w:cs="Times New Roman"/>
                                <w:color w:val="595959"/>
                                <w:sz w:val="18"/>
                                <w:szCs w:val="18"/>
                              </w:rPr>
                              <w:t>application</w:t>
                            </w:r>
                            <w:r w:rsidRPr="00862B39">
                              <w:rPr>
                                <w:rFonts w:cs="Times New Roman"/>
                                <w:color w:val="595959"/>
                                <w:sz w:val="18"/>
                                <w:szCs w:val="18"/>
                              </w:rPr>
                              <w:t xml:space="preserve"> will be rejected.</w:t>
                            </w:r>
                          </w:p>
                          <w:p w14:paraId="773B292B" w14:textId="59A23981" w:rsidR="004746B1" w:rsidRDefault="004746B1" w:rsidP="00C60BD6">
                            <w:pPr>
                              <w:numPr>
                                <w:ilvl w:val="0"/>
                                <w:numId w:val="11"/>
                              </w:numPr>
                              <w:spacing w:line="240" w:lineRule="auto"/>
                              <w:ind w:left="480" w:right="79"/>
                              <w:rPr>
                                <w:rFonts w:cs="Times New Roman"/>
                                <w:color w:val="595959"/>
                                <w:sz w:val="18"/>
                                <w:szCs w:val="18"/>
                              </w:rPr>
                            </w:pPr>
                            <w:r w:rsidRPr="00862B39">
                              <w:rPr>
                                <w:rFonts w:cs="Times New Roman"/>
                                <w:b/>
                                <w:color w:val="595959"/>
                                <w:sz w:val="18"/>
                                <w:szCs w:val="18"/>
                              </w:rPr>
                              <w:t xml:space="preserve">Cancellation </w:t>
                            </w:r>
                            <w:r w:rsidRPr="00862B39">
                              <w:rPr>
                                <w:rFonts w:eastAsia="Calibri" w:cs="Times New Roman"/>
                                <w:b/>
                                <w:color w:val="595959"/>
                                <w:sz w:val="18"/>
                                <w:szCs w:val="18"/>
                              </w:rPr>
                              <w:t xml:space="preserve">— </w:t>
                            </w:r>
                            <w:r w:rsidRPr="00862B39">
                              <w:rPr>
                                <w:rFonts w:eastAsia="Calibri" w:cs="Times New Roman"/>
                                <w:color w:val="595959"/>
                                <w:sz w:val="18"/>
                                <w:szCs w:val="18"/>
                              </w:rPr>
                              <w:t xml:space="preserve">There may be circumstances which may require the cancellation of the call. In this case, </w:t>
                            </w:r>
                            <w:r>
                              <w:rPr>
                                <w:rFonts w:eastAsia="Calibri" w:cs="Times New Roman"/>
                                <w:color w:val="595959"/>
                                <w:sz w:val="18"/>
                                <w:szCs w:val="18"/>
                              </w:rPr>
                              <w:t>applicants</w:t>
                            </w:r>
                            <w:r w:rsidRPr="00862B39">
                              <w:rPr>
                                <w:rFonts w:eastAsia="Calibri" w:cs="Times New Roman"/>
                                <w:color w:val="595959"/>
                                <w:sz w:val="18"/>
                                <w:szCs w:val="18"/>
                              </w:rPr>
                              <w:t xml:space="preserve"> will be informed via a call update. </w:t>
                            </w:r>
                            <w:r w:rsidR="00F92BF7">
                              <w:rPr>
                                <w:rFonts w:eastAsia="Calibri" w:cs="Times New Roman"/>
                                <w:color w:val="595959"/>
                                <w:sz w:val="18"/>
                                <w:szCs w:val="18"/>
                              </w:rPr>
                              <w:t>C</w:t>
                            </w:r>
                            <w:r w:rsidRPr="00862B39">
                              <w:rPr>
                                <w:rFonts w:eastAsia="Calibri" w:cs="Times New Roman"/>
                                <w:color w:val="595959"/>
                                <w:sz w:val="18"/>
                                <w:szCs w:val="18"/>
                              </w:rPr>
                              <w:t>ancellations are without entitlement to compensation.</w:t>
                            </w:r>
                          </w:p>
                          <w:p w14:paraId="33A74EF5" w14:textId="77777777" w:rsidR="004746B1" w:rsidRPr="0098363E" w:rsidRDefault="004746B1" w:rsidP="00C60BD6">
                            <w:pPr>
                              <w:pStyle w:val="Default"/>
                              <w:widowControl w:val="0"/>
                              <w:numPr>
                                <w:ilvl w:val="0"/>
                                <w:numId w:val="26"/>
                              </w:numPr>
                              <w:spacing w:after="120"/>
                              <w:ind w:left="480"/>
                              <w:jc w:val="both"/>
                              <w:rPr>
                                <w:color w:val="595959"/>
                                <w:sz w:val="18"/>
                                <w:szCs w:val="18"/>
                                <w:lang w:bidi="en-US"/>
                              </w:rPr>
                            </w:pPr>
                            <w:r w:rsidRPr="006B6206">
                              <w:rPr>
                                <w:b/>
                                <w:color w:val="595959"/>
                                <w:sz w:val="18"/>
                                <w:szCs w:val="18"/>
                              </w:rPr>
                              <w:t xml:space="preserve">Transparency </w:t>
                            </w:r>
                            <w:r w:rsidRPr="006B6206">
                              <w:rPr>
                                <w:rFonts w:eastAsia="Calibri"/>
                                <w:b/>
                                <w:color w:val="595959"/>
                                <w:sz w:val="18"/>
                                <w:szCs w:val="18"/>
                              </w:rPr>
                              <w:t>—</w:t>
                            </w:r>
                            <w:r w:rsidRPr="006B6206">
                              <w:rPr>
                                <w:color w:val="595959"/>
                                <w:sz w:val="18"/>
                                <w:szCs w:val="18"/>
                              </w:rPr>
                              <w:t xml:space="preserve"> </w:t>
                            </w:r>
                            <w:r w:rsidRPr="0098363E">
                              <w:rPr>
                                <w:rFonts w:cs="Arial"/>
                                <w:color w:val="595959"/>
                                <w:sz w:val="18"/>
                              </w:rPr>
                              <w:t xml:space="preserve">In accordance with Article 38 of the </w:t>
                            </w:r>
                            <w:hyperlink r:id="rId32" w:history="1">
                              <w:r w:rsidRPr="0098363E">
                                <w:rPr>
                                  <w:rFonts w:cs="Arial"/>
                                  <w:color w:val="0088CC"/>
                                  <w:sz w:val="18"/>
                                  <w:u w:val="single"/>
                                </w:rPr>
                                <w:t>EU Financial Regulation</w:t>
                              </w:r>
                            </w:hyperlink>
                            <w:r w:rsidRPr="0098363E">
                              <w:rPr>
                                <w:color w:val="595959"/>
                                <w:sz w:val="18"/>
                                <w:szCs w:val="18"/>
                              </w:rPr>
                              <w:t>,</w:t>
                            </w:r>
                            <w:r w:rsidRPr="0098363E">
                              <w:rPr>
                                <w:b/>
                                <w:color w:val="595959"/>
                                <w:sz w:val="18"/>
                                <w:szCs w:val="18"/>
                              </w:rPr>
                              <w:t xml:space="preserve"> </w:t>
                            </w:r>
                            <w:r w:rsidRPr="0098363E">
                              <w:rPr>
                                <w:color w:val="595959"/>
                                <w:sz w:val="18"/>
                                <w:szCs w:val="18"/>
                                <w:lang w:bidi="en-US"/>
                              </w:rPr>
                              <w:t>information about EU grants awarded is published each year on the</w:t>
                            </w:r>
                            <w:r w:rsidRPr="0098363E">
                              <w:rPr>
                                <w:sz w:val="18"/>
                                <w:szCs w:val="18"/>
                                <w:lang w:bidi="en-US"/>
                              </w:rPr>
                              <w:t xml:space="preserve"> </w:t>
                            </w:r>
                            <w:hyperlink r:id="rId33" w:history="1">
                              <w:r w:rsidRPr="0098363E">
                                <w:rPr>
                                  <w:rStyle w:val="Hyperlink"/>
                                  <w:sz w:val="18"/>
                                  <w:szCs w:val="18"/>
                                  <w:lang w:bidi="en-US"/>
                                </w:rPr>
                                <w:t>Europa website</w:t>
                              </w:r>
                            </w:hyperlink>
                            <w:r w:rsidRPr="0098363E">
                              <w:rPr>
                                <w:sz w:val="18"/>
                                <w:szCs w:val="18"/>
                                <w:lang w:bidi="en-US"/>
                              </w:rPr>
                              <w:t xml:space="preserve">. </w:t>
                            </w:r>
                          </w:p>
                          <w:p w14:paraId="348CDC0E" w14:textId="77777777" w:rsidR="004746B1" w:rsidRPr="006B6206" w:rsidRDefault="004746B1" w:rsidP="00C60BD6">
                            <w:pPr>
                              <w:pStyle w:val="Default"/>
                              <w:widowControl w:val="0"/>
                              <w:spacing w:after="120"/>
                              <w:ind w:left="480"/>
                              <w:jc w:val="both"/>
                              <w:rPr>
                                <w:color w:val="595959"/>
                                <w:sz w:val="18"/>
                                <w:szCs w:val="18"/>
                                <w:lang w:bidi="en-US"/>
                              </w:rPr>
                            </w:pPr>
                            <w:r w:rsidRPr="0098363E">
                              <w:rPr>
                                <w:color w:val="595959"/>
                                <w:sz w:val="18"/>
                                <w:szCs w:val="18"/>
                                <w:lang w:bidi="en-US"/>
                              </w:rPr>
                              <w:t>This includes</w:t>
                            </w:r>
                            <w:r w:rsidRPr="0098363E">
                              <w:rPr>
                                <w:color w:val="595959"/>
                                <w:sz w:val="18"/>
                                <w:szCs w:val="18"/>
                                <w:lang w:eastAsia="da-DK" w:bidi="da-DK"/>
                              </w:rPr>
                              <w:t>:</w:t>
                            </w:r>
                          </w:p>
                          <w:p w14:paraId="1AE2D0C4" w14:textId="3F84F204" w:rsidR="004746B1" w:rsidRPr="00862B39" w:rsidRDefault="004746B1" w:rsidP="00C60BD6">
                            <w:pPr>
                              <w:widowControl w:val="0"/>
                              <w:numPr>
                                <w:ilvl w:val="0"/>
                                <w:numId w:val="27"/>
                              </w:numPr>
                              <w:spacing w:after="120" w:line="240" w:lineRule="auto"/>
                              <w:ind w:left="1134" w:hanging="380"/>
                              <w:jc w:val="left"/>
                              <w:rPr>
                                <w:rFonts w:cs="Times New Roman"/>
                                <w:color w:val="595959"/>
                                <w:sz w:val="18"/>
                                <w:szCs w:val="18"/>
                                <w:lang w:bidi="en-US"/>
                              </w:rPr>
                            </w:pPr>
                            <w:r w:rsidRPr="00862B39">
                              <w:rPr>
                                <w:rFonts w:cs="Times New Roman"/>
                                <w:color w:val="595959"/>
                                <w:sz w:val="18"/>
                                <w:szCs w:val="18"/>
                                <w:lang w:eastAsia="nl-NL" w:bidi="nl-NL"/>
                              </w:rPr>
                              <w:t>b</w:t>
                            </w:r>
                            <w:r w:rsidRPr="00862B39">
                              <w:rPr>
                                <w:rFonts w:cs="Times New Roman"/>
                                <w:color w:val="595959"/>
                                <w:sz w:val="18"/>
                                <w:szCs w:val="18"/>
                                <w:lang w:bidi="en-US"/>
                              </w:rPr>
                              <w:t>eneficiar</w:t>
                            </w:r>
                            <w:r>
                              <w:rPr>
                                <w:rFonts w:cs="Times New Roman"/>
                                <w:color w:val="595959"/>
                                <w:sz w:val="18"/>
                                <w:szCs w:val="18"/>
                                <w:lang w:bidi="en-US"/>
                              </w:rPr>
                              <w:t>ies’</w:t>
                            </w:r>
                            <w:r w:rsidRPr="00862B39">
                              <w:rPr>
                                <w:rFonts w:cs="Times New Roman"/>
                                <w:color w:val="595959"/>
                                <w:sz w:val="18"/>
                                <w:szCs w:val="18"/>
                                <w:lang w:bidi="en-US"/>
                              </w:rPr>
                              <w:t xml:space="preserve"> names</w:t>
                            </w:r>
                            <w:r>
                              <w:rPr>
                                <w:rFonts w:cs="Times New Roman"/>
                                <w:color w:val="595959"/>
                                <w:sz w:val="18"/>
                                <w:szCs w:val="18"/>
                                <w:lang w:bidi="en-US"/>
                              </w:rPr>
                              <w:t>;</w:t>
                            </w:r>
                          </w:p>
                          <w:p w14:paraId="0A6FB437" w14:textId="6A45495C" w:rsidR="004746B1" w:rsidRPr="00862B39" w:rsidRDefault="004746B1" w:rsidP="00C60BD6">
                            <w:pPr>
                              <w:widowControl w:val="0"/>
                              <w:numPr>
                                <w:ilvl w:val="0"/>
                                <w:numId w:val="27"/>
                              </w:numPr>
                              <w:spacing w:after="120" w:line="240" w:lineRule="auto"/>
                              <w:ind w:left="1134" w:hanging="380"/>
                              <w:jc w:val="left"/>
                              <w:rPr>
                                <w:rFonts w:cs="Times New Roman"/>
                                <w:color w:val="595959"/>
                                <w:sz w:val="18"/>
                                <w:szCs w:val="18"/>
                                <w:lang w:bidi="en-US"/>
                              </w:rPr>
                            </w:pPr>
                            <w:r w:rsidRPr="00862B39">
                              <w:rPr>
                                <w:rFonts w:cs="Times New Roman"/>
                                <w:color w:val="595959"/>
                                <w:sz w:val="18"/>
                                <w:szCs w:val="18"/>
                                <w:lang w:bidi="en-US"/>
                              </w:rPr>
                              <w:t>beneficiar</w:t>
                            </w:r>
                            <w:r>
                              <w:rPr>
                                <w:rFonts w:cs="Times New Roman"/>
                                <w:color w:val="595959"/>
                                <w:sz w:val="18"/>
                                <w:szCs w:val="18"/>
                                <w:lang w:bidi="en-US"/>
                              </w:rPr>
                              <w:t>ies’</w:t>
                            </w:r>
                            <w:r w:rsidRPr="00862B39">
                              <w:rPr>
                                <w:rFonts w:cs="Times New Roman"/>
                                <w:color w:val="595959"/>
                                <w:sz w:val="18"/>
                                <w:szCs w:val="18"/>
                                <w:lang w:bidi="en-US"/>
                              </w:rPr>
                              <w:t xml:space="preserve"> addresses</w:t>
                            </w:r>
                            <w:r>
                              <w:rPr>
                                <w:rFonts w:cs="Times New Roman"/>
                                <w:color w:val="595959"/>
                                <w:sz w:val="18"/>
                                <w:szCs w:val="18"/>
                                <w:lang w:bidi="en-US"/>
                              </w:rPr>
                              <w:t>;</w:t>
                            </w:r>
                          </w:p>
                          <w:p w14:paraId="7A61609E" w14:textId="3F67DE5A" w:rsidR="004746B1" w:rsidRPr="00862B39" w:rsidRDefault="004746B1" w:rsidP="00C60BD6">
                            <w:pPr>
                              <w:widowControl w:val="0"/>
                              <w:numPr>
                                <w:ilvl w:val="0"/>
                                <w:numId w:val="27"/>
                              </w:numPr>
                              <w:spacing w:after="120" w:line="240" w:lineRule="auto"/>
                              <w:ind w:left="1134" w:hanging="380"/>
                              <w:jc w:val="left"/>
                              <w:rPr>
                                <w:rFonts w:cs="Times New Roman"/>
                                <w:color w:val="595959"/>
                                <w:sz w:val="18"/>
                                <w:szCs w:val="18"/>
                                <w:lang w:bidi="en-US"/>
                              </w:rPr>
                            </w:pPr>
                            <w:r w:rsidRPr="00862B39">
                              <w:rPr>
                                <w:rFonts w:cs="Times New Roman"/>
                                <w:color w:val="595959"/>
                                <w:sz w:val="18"/>
                                <w:szCs w:val="18"/>
                                <w:lang w:bidi="en-US"/>
                              </w:rPr>
                              <w:t>the purpose for which the grant was awarded</w:t>
                            </w:r>
                            <w:r>
                              <w:rPr>
                                <w:rFonts w:cs="Times New Roman"/>
                                <w:color w:val="595959"/>
                                <w:sz w:val="18"/>
                                <w:szCs w:val="18"/>
                                <w:lang w:bidi="en-US"/>
                              </w:rPr>
                              <w:t>;</w:t>
                            </w:r>
                          </w:p>
                          <w:p w14:paraId="04C487E9" w14:textId="77777777" w:rsidR="004746B1" w:rsidRPr="00862B39" w:rsidRDefault="004746B1" w:rsidP="00C60BD6">
                            <w:pPr>
                              <w:widowControl w:val="0"/>
                              <w:numPr>
                                <w:ilvl w:val="0"/>
                                <w:numId w:val="27"/>
                              </w:numPr>
                              <w:spacing w:after="120" w:line="240" w:lineRule="auto"/>
                              <w:ind w:left="1134" w:hanging="380"/>
                              <w:jc w:val="left"/>
                              <w:rPr>
                                <w:rFonts w:cs="Times New Roman"/>
                                <w:color w:val="595959"/>
                                <w:sz w:val="18"/>
                                <w:szCs w:val="18"/>
                                <w:lang w:bidi="en-US"/>
                              </w:rPr>
                            </w:pPr>
                            <w:r w:rsidRPr="00862B39">
                              <w:rPr>
                                <w:rFonts w:cs="Times New Roman"/>
                                <w:color w:val="595959"/>
                                <w:sz w:val="18"/>
                                <w:szCs w:val="18"/>
                                <w:lang w:bidi="en-US"/>
                              </w:rPr>
                              <w:t>the maximum amount awarded.</w:t>
                            </w:r>
                            <w:r w:rsidRPr="00862B39">
                              <w:rPr>
                                <w:rFonts w:cs="Times New Roman"/>
                                <w:color w:val="595959"/>
                                <w:sz w:val="18"/>
                                <w:szCs w:val="18"/>
                                <w:lang w:bidi="en-US"/>
                              </w:rPr>
                              <w:tab/>
                            </w:r>
                          </w:p>
                          <w:p w14:paraId="029EA886" w14:textId="15F05035" w:rsidR="004746B1" w:rsidRPr="00862B39" w:rsidRDefault="004746B1" w:rsidP="00C60BD6">
                            <w:pPr>
                              <w:widowControl w:val="0"/>
                              <w:ind w:left="480"/>
                              <w:rPr>
                                <w:rFonts w:cs="Times New Roman"/>
                                <w:color w:val="595959"/>
                                <w:sz w:val="18"/>
                                <w:szCs w:val="18"/>
                                <w:lang w:bidi="en-US"/>
                              </w:rPr>
                            </w:pPr>
                            <w:r>
                              <w:rPr>
                                <w:rFonts w:cs="Times New Roman"/>
                                <w:color w:val="595959"/>
                                <w:sz w:val="18"/>
                                <w:szCs w:val="18"/>
                                <w:lang w:bidi="en-US"/>
                              </w:rPr>
                              <w:t>P</w:t>
                            </w:r>
                            <w:r w:rsidRPr="00862B39">
                              <w:rPr>
                                <w:rFonts w:cs="Times New Roman"/>
                                <w:color w:val="595959"/>
                                <w:sz w:val="18"/>
                                <w:szCs w:val="18"/>
                                <w:lang w:bidi="en-US"/>
                              </w:rPr>
                              <w:t>ublication can exceptionally be waived (</w:t>
                            </w:r>
                            <w:r>
                              <w:rPr>
                                <w:rFonts w:cs="Times New Roman"/>
                                <w:color w:val="595959"/>
                                <w:sz w:val="18"/>
                                <w:szCs w:val="18"/>
                                <w:lang w:bidi="en-US"/>
                              </w:rPr>
                              <w:t>following</w:t>
                            </w:r>
                            <w:r w:rsidRPr="00862B39">
                              <w:rPr>
                                <w:rFonts w:cs="Times New Roman"/>
                                <w:color w:val="595959"/>
                                <w:sz w:val="18"/>
                                <w:szCs w:val="18"/>
                                <w:lang w:bidi="en-US"/>
                              </w:rPr>
                              <w:t xml:space="preserve"> </w:t>
                            </w:r>
                            <w:r>
                              <w:rPr>
                                <w:rFonts w:cs="Times New Roman"/>
                                <w:color w:val="595959"/>
                                <w:sz w:val="18"/>
                                <w:szCs w:val="18"/>
                                <w:lang w:bidi="en-US"/>
                              </w:rPr>
                              <w:t xml:space="preserve">a </w:t>
                            </w:r>
                            <w:r w:rsidRPr="00862B39">
                              <w:rPr>
                                <w:rFonts w:cs="Times New Roman"/>
                                <w:color w:val="595959"/>
                                <w:sz w:val="18"/>
                                <w:szCs w:val="18"/>
                                <w:lang w:bidi="en-US"/>
                              </w:rPr>
                              <w:t xml:space="preserve">reasoned and duly substantiated request), if there is a risk that disclosure could jeopardise </w:t>
                            </w:r>
                            <w:r>
                              <w:rPr>
                                <w:rFonts w:cs="Times New Roman"/>
                                <w:color w:val="595959"/>
                                <w:sz w:val="18"/>
                                <w:szCs w:val="18"/>
                                <w:lang w:bidi="en-US"/>
                              </w:rPr>
                              <w:t>applicants’</w:t>
                            </w:r>
                            <w:r w:rsidRPr="00862B39">
                              <w:rPr>
                                <w:rFonts w:cs="Times New Roman"/>
                                <w:color w:val="595959"/>
                                <w:sz w:val="18"/>
                                <w:szCs w:val="18"/>
                                <w:lang w:bidi="en-US"/>
                              </w:rPr>
                              <w:t xml:space="preserve"> rights and freedoms under the</w:t>
                            </w:r>
                            <w:r w:rsidRPr="00862B39">
                              <w:rPr>
                                <w:rFonts w:cs="Times New Roman"/>
                                <w:color w:val="595959"/>
                                <w:sz w:val="18"/>
                                <w:szCs w:val="18"/>
                                <w:lang w:eastAsia="nl-NL" w:bidi="nl-NL"/>
                              </w:rPr>
                              <w:t xml:space="preserve"> EU </w:t>
                            </w:r>
                            <w:r w:rsidRPr="00862B39">
                              <w:rPr>
                                <w:rFonts w:cs="Times New Roman"/>
                                <w:color w:val="595959"/>
                                <w:sz w:val="18"/>
                                <w:szCs w:val="18"/>
                                <w:lang w:bidi="en-US"/>
                              </w:rPr>
                              <w:t xml:space="preserve">Charter of Fundamental Rights or harm </w:t>
                            </w:r>
                            <w:r>
                              <w:rPr>
                                <w:rFonts w:cs="Times New Roman"/>
                                <w:color w:val="595959"/>
                                <w:sz w:val="18"/>
                                <w:szCs w:val="18"/>
                                <w:lang w:eastAsia="nl-NL" w:bidi="nl-NL"/>
                              </w:rPr>
                              <w:t>its</w:t>
                            </w:r>
                            <w:r w:rsidRPr="00862B39">
                              <w:rPr>
                                <w:rFonts w:cs="Times New Roman"/>
                                <w:color w:val="595959"/>
                                <w:sz w:val="18"/>
                                <w:szCs w:val="18"/>
                                <w:lang w:eastAsia="nl-NL" w:bidi="nl-NL"/>
                              </w:rPr>
                              <w:t xml:space="preserve"> </w:t>
                            </w:r>
                            <w:r w:rsidRPr="00862B39">
                              <w:rPr>
                                <w:rFonts w:cs="Times New Roman"/>
                                <w:color w:val="595959"/>
                                <w:sz w:val="18"/>
                                <w:szCs w:val="18"/>
                                <w:lang w:bidi="en-US"/>
                              </w:rPr>
                              <w:t>commercial interests.</w:t>
                            </w:r>
                          </w:p>
                          <w:p w14:paraId="1BB3DCF9" w14:textId="58182C16" w:rsidR="004746B1" w:rsidRPr="006B6206" w:rsidRDefault="004746B1" w:rsidP="00C60BD6">
                            <w:pPr>
                              <w:numPr>
                                <w:ilvl w:val="0"/>
                                <w:numId w:val="11"/>
                              </w:numPr>
                              <w:spacing w:line="240" w:lineRule="auto"/>
                              <w:ind w:left="480" w:right="79"/>
                              <w:rPr>
                                <w:rFonts w:cs="Times New Roman"/>
                                <w:color w:val="595959"/>
                                <w:sz w:val="18"/>
                                <w:szCs w:val="18"/>
                              </w:rPr>
                            </w:pPr>
                            <w:r w:rsidRPr="006B6206">
                              <w:rPr>
                                <w:rFonts w:cs="Times New Roman"/>
                                <w:b/>
                                <w:color w:val="595959"/>
                                <w:sz w:val="18"/>
                                <w:szCs w:val="18"/>
                              </w:rPr>
                              <w:t>Data protection</w:t>
                            </w:r>
                            <w:r w:rsidRPr="00156DF3">
                              <w:rPr>
                                <w:rFonts w:cs="Times New Roman"/>
                                <w:color w:val="595959"/>
                                <w:sz w:val="18"/>
                                <w:szCs w:val="18"/>
                              </w:rPr>
                              <w:t xml:space="preserve"> — The submission of </w:t>
                            </w:r>
                            <w:r>
                              <w:rPr>
                                <w:rFonts w:cs="Times New Roman"/>
                                <w:color w:val="595959"/>
                                <w:sz w:val="18"/>
                                <w:szCs w:val="18"/>
                              </w:rPr>
                              <w:t>an application</w:t>
                            </w:r>
                            <w:r w:rsidRPr="00156DF3">
                              <w:rPr>
                                <w:rFonts w:cs="Times New Roman"/>
                                <w:color w:val="595959"/>
                                <w:sz w:val="18"/>
                                <w:szCs w:val="18"/>
                              </w:rPr>
                              <w:t xml:space="preserve"> under this call involves the collection, use and processing of personal data. This data will be processed in accordance with Regulation </w:t>
                            </w:r>
                            <w:hyperlink r:id="rId34" w:history="1">
                              <w:r w:rsidRPr="00862B39">
                                <w:rPr>
                                  <w:rStyle w:val="Hyperlink"/>
                                  <w:rFonts w:cs="Times New Roman"/>
                                  <w:sz w:val="18"/>
                                  <w:szCs w:val="18"/>
                                </w:rPr>
                                <w:t>2018/1725</w:t>
                              </w:r>
                            </w:hyperlink>
                            <w:r w:rsidRPr="00156DF3">
                              <w:rPr>
                                <w:rFonts w:cs="Times New Roman"/>
                                <w:color w:val="595959"/>
                                <w:sz w:val="18"/>
                                <w:szCs w:val="18"/>
                              </w:rPr>
                              <w:t xml:space="preserve">. It will be processed solely for the purpose of evaluating </w:t>
                            </w:r>
                            <w:r>
                              <w:rPr>
                                <w:rFonts w:cs="Times New Roman"/>
                                <w:color w:val="595959"/>
                                <w:sz w:val="18"/>
                                <w:szCs w:val="18"/>
                              </w:rPr>
                              <w:t>the</w:t>
                            </w:r>
                            <w:r w:rsidRPr="00156DF3">
                              <w:rPr>
                                <w:rFonts w:cs="Times New Roman"/>
                                <w:color w:val="595959"/>
                                <w:sz w:val="18"/>
                                <w:szCs w:val="18"/>
                              </w:rPr>
                              <w:t xml:space="preserve"> </w:t>
                            </w:r>
                            <w:r>
                              <w:rPr>
                                <w:rFonts w:cs="Times New Roman"/>
                                <w:color w:val="595959"/>
                                <w:sz w:val="18"/>
                                <w:szCs w:val="18"/>
                              </w:rPr>
                              <w:t>application</w:t>
                            </w:r>
                            <w:r w:rsidRPr="00156DF3">
                              <w:rPr>
                                <w:rFonts w:cs="Times New Roman"/>
                                <w:color w:val="595959"/>
                                <w:sz w:val="18"/>
                                <w:szCs w:val="18"/>
                              </w:rPr>
                              <w:t xml:space="preserve"> (and subsequent management of </w:t>
                            </w:r>
                            <w:r>
                              <w:rPr>
                                <w:rFonts w:cs="Times New Roman"/>
                                <w:color w:val="595959"/>
                                <w:sz w:val="18"/>
                                <w:szCs w:val="18"/>
                              </w:rPr>
                              <w:t>the</w:t>
                            </w:r>
                            <w:r w:rsidRPr="00156DF3">
                              <w:rPr>
                                <w:rFonts w:cs="Times New Roman"/>
                                <w:color w:val="595959"/>
                                <w:sz w:val="18"/>
                                <w:szCs w:val="18"/>
                              </w:rPr>
                              <w:t xml:space="preserve"> grant </w:t>
                            </w:r>
                            <w:r w:rsidRPr="00B23708">
                              <w:rPr>
                                <w:rFonts w:cs="Times New Roman"/>
                                <w:color w:val="595959"/>
                                <w:sz w:val="18"/>
                                <w:szCs w:val="18"/>
                              </w:rPr>
                              <w:t xml:space="preserve">and, if needed, programme monitoring, evaluation and communication). Details are explained in the Funding &amp; Tenders Portal </w:t>
                            </w:r>
                            <w:r>
                              <w:rPr>
                                <w:rFonts w:cs="Times New Roman"/>
                                <w:color w:val="595959"/>
                                <w:sz w:val="18"/>
                                <w:szCs w:val="18"/>
                              </w:rPr>
                              <w:t>p</w:t>
                            </w:r>
                            <w:r w:rsidRPr="00B23708">
                              <w:rPr>
                                <w:rFonts w:cs="Times New Roman"/>
                                <w:color w:val="595959"/>
                                <w:sz w:val="18"/>
                                <w:szCs w:val="18"/>
                              </w:rPr>
                              <w:t xml:space="preserve">rivacy </w:t>
                            </w:r>
                            <w:r>
                              <w:rPr>
                                <w:rFonts w:cs="Times New Roman"/>
                                <w:color w:val="595959"/>
                                <w:sz w:val="18"/>
                                <w:szCs w:val="18"/>
                              </w:rPr>
                              <w:t>s</w:t>
                            </w:r>
                            <w:r w:rsidRPr="00B23708">
                              <w:rPr>
                                <w:rFonts w:cs="Times New Roman"/>
                                <w:color w:val="595959"/>
                                <w:sz w:val="18"/>
                                <w:szCs w:val="18"/>
                              </w:rPr>
                              <w:t>tatement</w:t>
                            </w:r>
                            <w:r w:rsidRPr="00156DF3">
                              <w:rPr>
                                <w:rFonts w:cs="Times New Roman"/>
                                <w:color w:val="595959"/>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C33F6" id="Text Box 43" o:spid="_x0000_s1028" type="#_x0000_t202" style="position:absolute;left:0;text-align:left;margin-left:1.15pt;margin-top:.45pt;width:430.95pt;height:58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" fillcolor="#f2f2f2" strokecolor="#bfbfbf" strokeweight="1.5pt">
                <v:textbox>
                  <w:txbxContent>
                    <w:p w14:paraId="1509B76B" w14:textId="714EA4C1" w:rsidR="004746B1" w:rsidRPr="00862B39" w:rsidRDefault="004746B1" w:rsidP="00C60BD6">
                      <w:pPr>
                        <w:numPr>
                          <w:ilvl w:val="0"/>
                          <w:numId w:val="11"/>
                        </w:numPr>
                        <w:spacing w:line="240" w:lineRule="auto"/>
                        <w:ind w:left="480" w:right="78"/>
                        <w:rPr>
                          <w:rFonts w:cs="Times New Roman"/>
                          <w:color w:val="595959"/>
                          <w:sz w:val="18"/>
                          <w:szCs w:val="18"/>
                        </w:rPr>
                      </w:pPr>
                      <w:r w:rsidRPr="00862B39">
                        <w:rPr>
                          <w:b/>
                          <w:color w:val="595959"/>
                          <w:sz w:val="18"/>
                          <w:szCs w:val="18"/>
                        </w:rPr>
                        <w:t xml:space="preserve">No-profit rule </w:t>
                      </w:r>
                      <w:r w:rsidRPr="00862B39">
                        <w:rPr>
                          <w:rFonts w:eastAsia="Calibri"/>
                          <w:b/>
                          <w:color w:val="595959"/>
                          <w:sz w:val="18"/>
                          <w:szCs w:val="18"/>
                        </w:rPr>
                        <w:t xml:space="preserve">— </w:t>
                      </w:r>
                      <w:r w:rsidRPr="00862B39">
                        <w:rPr>
                          <w:rFonts w:eastAsia="Calibri"/>
                          <w:color w:val="595959"/>
                          <w:sz w:val="18"/>
                          <w:szCs w:val="18"/>
                        </w:rPr>
                        <w:t>Grants may</w:t>
                      </w:r>
                      <w:r w:rsidRPr="00862B39">
                        <w:rPr>
                          <w:rFonts w:eastAsia="Calibri"/>
                          <w:b/>
                          <w:color w:val="595959"/>
                          <w:sz w:val="18"/>
                          <w:szCs w:val="18"/>
                        </w:rPr>
                        <w:t xml:space="preserve"> </w:t>
                      </w:r>
                      <w:r w:rsidRPr="00862B39">
                        <w:rPr>
                          <w:color w:val="595959"/>
                          <w:sz w:val="18"/>
                          <w:szCs w:val="18"/>
                        </w:rPr>
                        <w:t>NOT give a profit (i.e. surplus of revenues + EU grant over costs).</w:t>
                      </w:r>
                      <w:r w:rsidRPr="00862B39">
                        <w:rPr>
                          <w:rFonts w:eastAsia="Calibri"/>
                          <w:color w:val="595959"/>
                          <w:sz w:val="18"/>
                          <w:szCs w:val="18"/>
                        </w:rPr>
                        <w:t xml:space="preserve"> This will </w:t>
                      </w:r>
                      <w:r w:rsidRPr="00862B39">
                        <w:rPr>
                          <w:rFonts w:eastAsia="Calibri" w:cs="Times New Roman"/>
                          <w:color w:val="595959"/>
                          <w:sz w:val="18"/>
                          <w:szCs w:val="18"/>
                        </w:rPr>
                        <w:t xml:space="preserve">be checked by </w:t>
                      </w:r>
                      <w:r>
                        <w:rPr>
                          <w:rFonts w:eastAsia="Calibri" w:cs="Times New Roman"/>
                          <w:color w:val="595959"/>
                          <w:sz w:val="18"/>
                          <w:szCs w:val="18"/>
                        </w:rPr>
                        <w:t>the granting authority</w:t>
                      </w:r>
                      <w:r w:rsidRPr="00862B39">
                        <w:rPr>
                          <w:rFonts w:eastAsia="Calibri" w:cs="Times New Roman"/>
                          <w:color w:val="595959"/>
                          <w:sz w:val="18"/>
                          <w:szCs w:val="18"/>
                        </w:rPr>
                        <w:t xml:space="preserve"> at the end of the project.</w:t>
                      </w:r>
                    </w:p>
                    <w:p w14:paraId="30CE3FAA" w14:textId="0A5D8F0F" w:rsidR="004746B1" w:rsidRPr="00862B39" w:rsidRDefault="004746B1" w:rsidP="00C60BD6">
                      <w:pPr>
                        <w:numPr>
                          <w:ilvl w:val="0"/>
                          <w:numId w:val="11"/>
                        </w:numPr>
                        <w:spacing w:line="240" w:lineRule="auto"/>
                        <w:ind w:left="476" w:right="79" w:hanging="357"/>
                        <w:rPr>
                          <w:rFonts w:cs="Times New Roman"/>
                          <w:color w:val="595959"/>
                          <w:sz w:val="18"/>
                          <w:szCs w:val="18"/>
                        </w:rPr>
                      </w:pPr>
                      <w:r w:rsidRPr="00862B39">
                        <w:rPr>
                          <w:rFonts w:cs="Times New Roman"/>
                          <w:b/>
                          <w:color w:val="595959"/>
                          <w:sz w:val="18"/>
                          <w:szCs w:val="18"/>
                        </w:rPr>
                        <w:t>No double funding</w:t>
                      </w:r>
                      <w:r w:rsidRPr="00862B39">
                        <w:rPr>
                          <w:rFonts w:cs="Times New Roman"/>
                          <w:i/>
                          <w:color w:val="595959"/>
                          <w:sz w:val="18"/>
                          <w:szCs w:val="18"/>
                        </w:rPr>
                        <w:t xml:space="preserve"> </w:t>
                      </w:r>
                      <w:r w:rsidRPr="00862B39">
                        <w:rPr>
                          <w:rFonts w:eastAsia="Calibri" w:cs="Times New Roman"/>
                          <w:b/>
                          <w:color w:val="595959"/>
                          <w:sz w:val="18"/>
                          <w:szCs w:val="18"/>
                        </w:rPr>
                        <w:t xml:space="preserve">— </w:t>
                      </w:r>
                      <w:r w:rsidRPr="00862B39">
                        <w:rPr>
                          <w:rFonts w:cs="Times New Roman"/>
                          <w:noProof/>
                          <w:color w:val="595959"/>
                          <w:sz w:val="18"/>
                          <w:szCs w:val="18"/>
                        </w:rPr>
                        <w:t>Th</w:t>
                      </w:r>
                      <w:r>
                        <w:rPr>
                          <w:rFonts w:cs="Times New Roman"/>
                          <w:noProof/>
                          <w:color w:val="595959"/>
                          <w:sz w:val="18"/>
                          <w:szCs w:val="18"/>
                        </w:rPr>
                        <w:t xml:space="preserve">ere is strict prohibition of </w:t>
                      </w:r>
                      <w:r w:rsidRPr="00862B39">
                        <w:rPr>
                          <w:rFonts w:cs="Times New Roman"/>
                          <w:color w:val="595959"/>
                          <w:sz w:val="18"/>
                          <w:szCs w:val="18"/>
                        </w:rPr>
                        <w:t>double funding from the EU budget.</w:t>
                      </w:r>
                      <w:r w:rsidRPr="00862B39">
                        <w:rPr>
                          <w:rFonts w:cs="Times New Roman"/>
                          <w:sz w:val="18"/>
                          <w:szCs w:val="18"/>
                        </w:rPr>
                        <w:t xml:space="preserve"> </w:t>
                      </w:r>
                      <w:r>
                        <w:rPr>
                          <w:rFonts w:cs="Times New Roman"/>
                          <w:color w:val="595959"/>
                          <w:sz w:val="18"/>
                          <w:szCs w:val="18"/>
                        </w:rPr>
                        <w:t>A</w:t>
                      </w:r>
                      <w:r w:rsidRPr="006B6206">
                        <w:rPr>
                          <w:rFonts w:cs="Times New Roman"/>
                          <w:color w:val="595959"/>
                          <w:sz w:val="18"/>
                          <w:szCs w:val="18"/>
                        </w:rPr>
                        <w:t>ny given action may receive only ONE grant from the EU budget</w:t>
                      </w:r>
                      <w:r>
                        <w:rPr>
                          <w:rFonts w:cs="Times New Roman"/>
                          <w:color w:val="595959"/>
                          <w:sz w:val="18"/>
                          <w:szCs w:val="18"/>
                        </w:rPr>
                        <w:t xml:space="preserve"> (except for EU Synergy grants)</w:t>
                      </w:r>
                      <w:r w:rsidRPr="006B6206">
                        <w:rPr>
                          <w:rFonts w:cs="Times New Roman"/>
                          <w:color w:val="595959"/>
                          <w:sz w:val="18"/>
                          <w:szCs w:val="18"/>
                        </w:rPr>
                        <w:t xml:space="preserve"> and cost</w:t>
                      </w:r>
                      <w:r>
                        <w:rPr>
                          <w:rFonts w:cs="Times New Roman"/>
                          <w:color w:val="595959"/>
                          <w:sz w:val="18"/>
                          <w:szCs w:val="18"/>
                        </w:rPr>
                        <w:t>s</w:t>
                      </w:r>
                      <w:r w:rsidRPr="006B6206">
                        <w:rPr>
                          <w:rFonts w:cs="Times New Roman"/>
                          <w:color w:val="595959"/>
                          <w:sz w:val="18"/>
                          <w:szCs w:val="18"/>
                        </w:rPr>
                        <w:t xml:space="preserve"> may under NO circumstances </w:t>
                      </w:r>
                      <w:r>
                        <w:rPr>
                          <w:rFonts w:cs="Times New Roman"/>
                          <w:color w:val="595959"/>
                          <w:sz w:val="18"/>
                          <w:szCs w:val="18"/>
                        </w:rPr>
                        <w:t xml:space="preserve">be </w:t>
                      </w:r>
                      <w:r w:rsidRPr="006B6206">
                        <w:rPr>
                          <w:rFonts w:cs="Times New Roman"/>
                          <w:color w:val="595959"/>
                          <w:sz w:val="18"/>
                          <w:szCs w:val="18"/>
                        </w:rPr>
                        <w:t>declared to two different EU actions</w:t>
                      </w:r>
                      <w:r w:rsidRPr="00862B39">
                        <w:rPr>
                          <w:rFonts w:cs="Times New Roman"/>
                          <w:color w:val="595959"/>
                          <w:sz w:val="18"/>
                          <w:szCs w:val="18"/>
                        </w:rPr>
                        <w:t xml:space="preserve">. </w:t>
                      </w:r>
                    </w:p>
                    <w:p w14:paraId="736D34A5" w14:textId="1858D520" w:rsidR="004746B1" w:rsidRPr="00862B39" w:rsidRDefault="004746B1" w:rsidP="00C60BD6">
                      <w:pPr>
                        <w:numPr>
                          <w:ilvl w:val="0"/>
                          <w:numId w:val="11"/>
                        </w:numPr>
                        <w:spacing w:line="240" w:lineRule="auto"/>
                        <w:ind w:left="480" w:right="79"/>
                        <w:rPr>
                          <w:rFonts w:cs="Times New Roman"/>
                          <w:color w:val="595959"/>
                          <w:sz w:val="18"/>
                          <w:szCs w:val="18"/>
                        </w:rPr>
                      </w:pPr>
                      <w:r w:rsidRPr="00862B39">
                        <w:rPr>
                          <w:rFonts w:cs="Times New Roman"/>
                          <w:b/>
                          <w:bCs/>
                          <w:noProof/>
                          <w:color w:val="595959"/>
                          <w:sz w:val="18"/>
                          <w:szCs w:val="18"/>
                        </w:rPr>
                        <w:t xml:space="preserve">Combination with EU operating grants </w:t>
                      </w:r>
                      <w:r w:rsidRPr="00862B39">
                        <w:rPr>
                          <w:rFonts w:eastAsia="Calibri" w:cs="Times New Roman"/>
                          <w:b/>
                          <w:color w:val="595959"/>
                          <w:sz w:val="18"/>
                          <w:szCs w:val="18"/>
                        </w:rPr>
                        <w:t xml:space="preserve">— </w:t>
                      </w:r>
                      <w:r w:rsidRPr="00862B39">
                        <w:rPr>
                          <w:rFonts w:eastAsia="Calibri" w:cs="Times New Roman"/>
                          <w:color w:val="595959"/>
                          <w:sz w:val="18"/>
                          <w:szCs w:val="18"/>
                        </w:rPr>
                        <w:t xml:space="preserve">Combination with EU operating grants is </w:t>
                      </w:r>
                      <w:r w:rsidRPr="00862B39">
                        <w:rPr>
                          <w:rFonts w:cs="Times New Roman"/>
                          <w:color w:val="595959"/>
                          <w:sz w:val="18"/>
                          <w:szCs w:val="18"/>
                        </w:rPr>
                        <w:t xml:space="preserve">possible, if the project remains outside the operating grant work programme and </w:t>
                      </w:r>
                      <w:r>
                        <w:rPr>
                          <w:rFonts w:cs="Times New Roman"/>
                          <w:color w:val="595959"/>
                          <w:sz w:val="18"/>
                          <w:szCs w:val="18"/>
                        </w:rPr>
                        <w:t>the beneficiary</w:t>
                      </w:r>
                      <w:r w:rsidRPr="00862B39">
                        <w:rPr>
                          <w:rFonts w:cs="Times New Roman"/>
                          <w:color w:val="595959"/>
                          <w:sz w:val="18"/>
                          <w:szCs w:val="18"/>
                        </w:rPr>
                        <w:t xml:space="preserve"> make</w:t>
                      </w:r>
                      <w:r>
                        <w:rPr>
                          <w:rFonts w:cs="Times New Roman"/>
                          <w:color w:val="595959"/>
                          <w:sz w:val="18"/>
                          <w:szCs w:val="18"/>
                        </w:rPr>
                        <w:t>s</w:t>
                      </w:r>
                      <w:r w:rsidRPr="00862B39">
                        <w:rPr>
                          <w:rFonts w:cs="Times New Roman"/>
                          <w:color w:val="595959"/>
                          <w:sz w:val="18"/>
                          <w:szCs w:val="18"/>
                        </w:rPr>
                        <w:t xml:space="preserve"> sure that cost items are clearly separated in </w:t>
                      </w:r>
                      <w:r>
                        <w:rPr>
                          <w:rFonts w:cs="Times New Roman"/>
                          <w:color w:val="595959"/>
                          <w:sz w:val="18"/>
                          <w:szCs w:val="18"/>
                        </w:rPr>
                        <w:t>its</w:t>
                      </w:r>
                      <w:r w:rsidRPr="00862B39">
                        <w:rPr>
                          <w:rFonts w:cs="Times New Roman"/>
                          <w:color w:val="595959"/>
                          <w:sz w:val="18"/>
                          <w:szCs w:val="18"/>
                        </w:rPr>
                        <w:t xml:space="preserve"> accounting and NOT declared twice </w:t>
                      </w:r>
                      <w:r w:rsidRPr="00862B39">
                        <w:rPr>
                          <w:rFonts w:cs="Times New Roman"/>
                          <w:i/>
                          <w:color w:val="595959"/>
                          <w:sz w:val="18"/>
                          <w:szCs w:val="18"/>
                        </w:rPr>
                        <w:t xml:space="preserve">(see </w:t>
                      </w:r>
                      <w:hyperlink r:id="rId35" w:history="1">
                        <w:r w:rsidRPr="004E0D0B">
                          <w:rPr>
                            <w:rStyle w:val="Hyperlink"/>
                            <w:i/>
                            <w:sz w:val="18"/>
                            <w:szCs w:val="18"/>
                          </w:rPr>
                          <w:t xml:space="preserve">AGA </w:t>
                        </w:r>
                        <w:r w:rsidRPr="004E0D0B">
                          <w:rPr>
                            <w:rStyle w:val="Hyperlink"/>
                            <w:rFonts w:eastAsia="Calibri"/>
                            <w:i/>
                            <w:sz w:val="18"/>
                            <w:szCs w:val="18"/>
                          </w:rPr>
                          <w:t>— Annotated Model Grant Agreement, art</w:t>
                        </w:r>
                        <w:r>
                          <w:rPr>
                            <w:rStyle w:val="Hyperlink"/>
                            <w:rFonts w:eastAsia="Calibri"/>
                            <w:i/>
                            <w:sz w:val="18"/>
                            <w:szCs w:val="18"/>
                          </w:rPr>
                          <w:t>icle</w:t>
                        </w:r>
                        <w:r w:rsidRPr="004E0D0B">
                          <w:rPr>
                            <w:rStyle w:val="Hyperlink"/>
                            <w:rFonts w:eastAsia="Calibri"/>
                            <w:i/>
                            <w:sz w:val="18"/>
                            <w:szCs w:val="18"/>
                          </w:rPr>
                          <w:t xml:space="preserve"> 6.2.E</w:t>
                        </w:r>
                      </w:hyperlink>
                      <w:r w:rsidRPr="00862B39">
                        <w:rPr>
                          <w:rFonts w:eastAsia="Calibri" w:cs="Times New Roman"/>
                          <w:i/>
                          <w:color w:val="595959"/>
                          <w:sz w:val="18"/>
                          <w:szCs w:val="18"/>
                        </w:rPr>
                        <w:t>)</w:t>
                      </w:r>
                      <w:r w:rsidRPr="00862B39">
                        <w:rPr>
                          <w:rFonts w:cs="Times New Roman"/>
                          <w:i/>
                          <w:color w:val="595959"/>
                          <w:sz w:val="18"/>
                          <w:szCs w:val="18"/>
                        </w:rPr>
                        <w:t>.</w:t>
                      </w:r>
                      <w:r w:rsidRPr="006B6206">
                        <w:rPr>
                          <w:rFonts w:cs="Times New Roman"/>
                          <w:color w:val="4AA55B"/>
                          <w:sz w:val="18"/>
                          <w:szCs w:val="18"/>
                        </w:rPr>
                        <w:t xml:space="preserve"> </w:t>
                      </w:r>
                    </w:p>
                    <w:p w14:paraId="3F89A09E" w14:textId="4245DD29" w:rsidR="004746B1" w:rsidRPr="00862B39" w:rsidRDefault="004746B1" w:rsidP="00C60BD6">
                      <w:pPr>
                        <w:numPr>
                          <w:ilvl w:val="0"/>
                          <w:numId w:val="11"/>
                        </w:numPr>
                        <w:spacing w:after="120" w:line="240" w:lineRule="auto"/>
                        <w:ind w:left="480" w:right="79"/>
                        <w:rPr>
                          <w:rFonts w:cs="Times New Roman"/>
                          <w:color w:val="595959"/>
                          <w:sz w:val="18"/>
                          <w:szCs w:val="18"/>
                        </w:rPr>
                      </w:pPr>
                      <w:r w:rsidRPr="00862B39">
                        <w:rPr>
                          <w:rFonts w:cs="Times New Roman"/>
                          <w:b/>
                          <w:color w:val="595959"/>
                          <w:sz w:val="18"/>
                          <w:szCs w:val="18"/>
                        </w:rPr>
                        <w:t xml:space="preserve">Multiple </w:t>
                      </w:r>
                      <w:r>
                        <w:rPr>
                          <w:rFonts w:cs="Times New Roman"/>
                          <w:b/>
                          <w:color w:val="595959"/>
                          <w:sz w:val="18"/>
                          <w:szCs w:val="18"/>
                        </w:rPr>
                        <w:t>application</w:t>
                      </w:r>
                      <w:r w:rsidRPr="00862B39">
                        <w:rPr>
                          <w:rFonts w:cs="Times New Roman"/>
                          <w:b/>
                          <w:color w:val="595959"/>
                          <w:sz w:val="18"/>
                          <w:szCs w:val="18"/>
                        </w:rPr>
                        <w:t>s</w:t>
                      </w:r>
                      <w:r w:rsidRPr="00862B39">
                        <w:rPr>
                          <w:rFonts w:cs="Times New Roman"/>
                          <w:color w:val="595959"/>
                          <w:sz w:val="18"/>
                          <w:szCs w:val="18"/>
                        </w:rPr>
                        <w:t xml:space="preserve"> </w:t>
                      </w:r>
                      <w:r w:rsidRPr="00862B39">
                        <w:rPr>
                          <w:rFonts w:eastAsia="Calibri" w:cs="Times New Roman"/>
                          <w:b/>
                          <w:color w:val="595959"/>
                          <w:sz w:val="18"/>
                          <w:szCs w:val="18"/>
                        </w:rPr>
                        <w:t>—</w:t>
                      </w:r>
                      <w:r w:rsidRPr="00862B39">
                        <w:rPr>
                          <w:rFonts w:eastAsia="Calibri" w:cs="Times New Roman"/>
                          <w:color w:val="595959"/>
                          <w:sz w:val="18"/>
                          <w:szCs w:val="18"/>
                        </w:rPr>
                        <w:t xml:space="preserve"> A</w:t>
                      </w:r>
                      <w:r w:rsidRPr="00862B39">
                        <w:rPr>
                          <w:rFonts w:cs="Times New Roman"/>
                          <w:color w:val="595959"/>
                          <w:sz w:val="18"/>
                          <w:szCs w:val="18"/>
                        </w:rPr>
                        <w:t xml:space="preserve">pplicants may submit more than one </w:t>
                      </w:r>
                      <w:r>
                        <w:rPr>
                          <w:rFonts w:cs="Times New Roman"/>
                          <w:color w:val="595959"/>
                          <w:sz w:val="18"/>
                          <w:szCs w:val="18"/>
                        </w:rPr>
                        <w:t>application</w:t>
                      </w:r>
                      <w:r w:rsidRPr="00862B39">
                        <w:rPr>
                          <w:rFonts w:cs="Times New Roman"/>
                          <w:color w:val="595959"/>
                          <w:sz w:val="18"/>
                          <w:szCs w:val="18"/>
                        </w:rPr>
                        <w:t xml:space="preserve"> for </w:t>
                      </w:r>
                      <w:r w:rsidRPr="00862B39">
                        <w:rPr>
                          <w:rFonts w:cs="Times New Roman"/>
                          <w:i/>
                          <w:color w:val="595959"/>
                          <w:sz w:val="18"/>
                          <w:szCs w:val="18"/>
                        </w:rPr>
                        <w:t>different</w:t>
                      </w:r>
                      <w:r w:rsidRPr="00862B39">
                        <w:rPr>
                          <w:rFonts w:cs="Times New Roman"/>
                          <w:color w:val="595959"/>
                          <w:sz w:val="18"/>
                          <w:szCs w:val="18"/>
                        </w:rPr>
                        <w:t xml:space="preserve"> projects under the same call (and be awarded funding for them).</w:t>
                      </w:r>
                    </w:p>
                    <w:p w14:paraId="1DE39ED9" w14:textId="77777777" w:rsidR="004746B1" w:rsidRPr="00862B39" w:rsidRDefault="004746B1" w:rsidP="00C60BD6">
                      <w:pPr>
                        <w:spacing w:after="120"/>
                        <w:ind w:left="480" w:right="79"/>
                        <w:rPr>
                          <w:rFonts w:cs="Times New Roman"/>
                          <w:color w:val="595959"/>
                          <w:sz w:val="18"/>
                          <w:szCs w:val="18"/>
                        </w:rPr>
                      </w:pPr>
                      <w:r w:rsidRPr="00862B39">
                        <w:rPr>
                          <w:rFonts w:cs="Times New Roman"/>
                          <w:color w:val="595959"/>
                          <w:sz w:val="18"/>
                          <w:szCs w:val="18"/>
                        </w:rPr>
                        <w:t xml:space="preserve">Organisations may participate in several </w:t>
                      </w:r>
                      <w:r>
                        <w:rPr>
                          <w:rFonts w:cs="Times New Roman"/>
                          <w:color w:val="595959"/>
                          <w:sz w:val="18"/>
                          <w:szCs w:val="18"/>
                        </w:rPr>
                        <w:t>application</w:t>
                      </w:r>
                      <w:r w:rsidRPr="00862B39">
                        <w:rPr>
                          <w:rFonts w:cs="Times New Roman"/>
                          <w:color w:val="595959"/>
                          <w:sz w:val="18"/>
                          <w:szCs w:val="18"/>
                        </w:rPr>
                        <w:t>s.</w:t>
                      </w:r>
                    </w:p>
                    <w:p w14:paraId="4051AF51" w14:textId="5181CFF7" w:rsidR="004746B1" w:rsidRPr="00862B39" w:rsidRDefault="004746B1" w:rsidP="00C60BD6">
                      <w:pPr>
                        <w:ind w:left="480" w:right="79"/>
                        <w:rPr>
                          <w:rFonts w:cs="Times New Roman"/>
                          <w:color w:val="595959"/>
                          <w:sz w:val="18"/>
                          <w:szCs w:val="18"/>
                        </w:rPr>
                      </w:pPr>
                      <w:r w:rsidRPr="00862B39">
                        <w:rPr>
                          <w:rFonts w:cs="Times New Roman"/>
                          <w:color w:val="595959"/>
                          <w:sz w:val="18"/>
                          <w:szCs w:val="18"/>
                        </w:rPr>
                        <w:t xml:space="preserve">BUT: if </w:t>
                      </w:r>
                      <w:r>
                        <w:rPr>
                          <w:rFonts w:cs="Times New Roman"/>
                          <w:color w:val="595959"/>
                          <w:sz w:val="18"/>
                          <w:szCs w:val="18"/>
                        </w:rPr>
                        <w:t xml:space="preserve">there </w:t>
                      </w:r>
                      <w:r w:rsidRPr="00862B39">
                        <w:rPr>
                          <w:rFonts w:cs="Times New Roman"/>
                          <w:color w:val="595959"/>
                          <w:sz w:val="18"/>
                          <w:szCs w:val="18"/>
                        </w:rPr>
                        <w:t xml:space="preserve">are several </w:t>
                      </w:r>
                      <w:r>
                        <w:rPr>
                          <w:rFonts w:cs="Times New Roman"/>
                          <w:color w:val="595959"/>
                          <w:sz w:val="18"/>
                          <w:szCs w:val="18"/>
                        </w:rPr>
                        <w:t>application</w:t>
                      </w:r>
                      <w:r w:rsidRPr="00862B39">
                        <w:rPr>
                          <w:rFonts w:cs="Times New Roman"/>
                          <w:color w:val="595959"/>
                          <w:sz w:val="18"/>
                          <w:szCs w:val="18"/>
                        </w:rPr>
                        <w:t xml:space="preserve">s for the </w:t>
                      </w:r>
                      <w:r w:rsidRPr="00862B39">
                        <w:rPr>
                          <w:rFonts w:cs="Times New Roman"/>
                          <w:i/>
                          <w:color w:val="595959"/>
                          <w:sz w:val="18"/>
                          <w:szCs w:val="18"/>
                        </w:rPr>
                        <w:t>same/very similar</w:t>
                      </w:r>
                      <w:r w:rsidRPr="00862B39">
                        <w:rPr>
                          <w:rFonts w:cs="Times New Roman"/>
                          <w:color w:val="595959"/>
                          <w:sz w:val="18"/>
                          <w:szCs w:val="18"/>
                        </w:rPr>
                        <w:t xml:space="preserve"> project, only one </w:t>
                      </w:r>
                      <w:r>
                        <w:rPr>
                          <w:rFonts w:cs="Times New Roman"/>
                          <w:color w:val="595959"/>
                          <w:sz w:val="18"/>
                          <w:szCs w:val="18"/>
                        </w:rPr>
                        <w:t>application</w:t>
                      </w:r>
                      <w:r w:rsidRPr="00862B39">
                        <w:rPr>
                          <w:rFonts w:cs="Times New Roman"/>
                          <w:color w:val="595959"/>
                          <w:sz w:val="18"/>
                          <w:szCs w:val="18"/>
                        </w:rPr>
                        <w:t xml:space="preserve"> will be accepted and evaluated; the applicants will be asked to withdraw</w:t>
                      </w:r>
                      <w:r w:rsidRPr="00862B39">
                        <w:rPr>
                          <w:rFonts w:cs="Times New Roman"/>
                          <w:color w:val="7F7F7F"/>
                          <w:sz w:val="18"/>
                          <w:szCs w:val="18"/>
                        </w:rPr>
                        <w:t xml:space="preserve"> </w:t>
                      </w:r>
                      <w:r w:rsidRPr="00862B39">
                        <w:rPr>
                          <w:rFonts w:cs="Times New Roman"/>
                          <w:color w:val="595959"/>
                          <w:sz w:val="18"/>
                          <w:szCs w:val="18"/>
                        </w:rPr>
                        <w:t>one of them (or it will be rejected).</w:t>
                      </w:r>
                    </w:p>
                    <w:p w14:paraId="18BF9104" w14:textId="0D4235E7" w:rsidR="004746B1" w:rsidRPr="006B6206" w:rsidRDefault="004746B1" w:rsidP="00C60BD6">
                      <w:pPr>
                        <w:numPr>
                          <w:ilvl w:val="0"/>
                          <w:numId w:val="11"/>
                        </w:numPr>
                        <w:spacing w:line="240" w:lineRule="auto"/>
                        <w:ind w:left="480" w:right="79"/>
                        <w:rPr>
                          <w:rFonts w:cs="Times New Roman"/>
                          <w:color w:val="595959"/>
                          <w:sz w:val="18"/>
                          <w:szCs w:val="18"/>
                        </w:rPr>
                      </w:pPr>
                      <w:r w:rsidRPr="00862B39">
                        <w:rPr>
                          <w:rFonts w:cs="Times New Roman"/>
                          <w:b/>
                          <w:color w:val="595959"/>
                          <w:sz w:val="18"/>
                          <w:szCs w:val="18"/>
                        </w:rPr>
                        <w:t>Language</w:t>
                      </w:r>
                      <w:r w:rsidRPr="00862B39">
                        <w:rPr>
                          <w:rFonts w:cs="Times New Roman"/>
                          <w:color w:val="595959"/>
                          <w:sz w:val="18"/>
                          <w:szCs w:val="18"/>
                        </w:rPr>
                        <w:t xml:space="preserve"> </w:t>
                      </w:r>
                      <w:r w:rsidRPr="00862B39">
                        <w:rPr>
                          <w:rFonts w:eastAsia="Calibri" w:cs="Times New Roman"/>
                          <w:b/>
                          <w:color w:val="595959"/>
                          <w:sz w:val="18"/>
                          <w:szCs w:val="18"/>
                        </w:rPr>
                        <w:t>—</w:t>
                      </w:r>
                      <w:r w:rsidRPr="00862B39">
                        <w:rPr>
                          <w:rFonts w:eastAsia="Calibri" w:cs="Times New Roman"/>
                          <w:color w:val="595959"/>
                          <w:sz w:val="18"/>
                          <w:szCs w:val="18"/>
                        </w:rPr>
                        <w:t xml:space="preserve"> </w:t>
                      </w:r>
                      <w:r>
                        <w:rPr>
                          <w:rFonts w:cs="Times New Roman"/>
                          <w:color w:val="595959"/>
                          <w:sz w:val="18"/>
                          <w:szCs w:val="18"/>
                        </w:rPr>
                        <w:t>Applicants</w:t>
                      </w:r>
                      <w:r w:rsidRPr="006B6206">
                        <w:rPr>
                          <w:rFonts w:cs="Times New Roman"/>
                          <w:color w:val="595959"/>
                          <w:sz w:val="18"/>
                          <w:szCs w:val="18"/>
                        </w:rPr>
                        <w:t xml:space="preserve"> can submit </w:t>
                      </w:r>
                      <w:r>
                        <w:rPr>
                          <w:rFonts w:cs="Times New Roman"/>
                          <w:color w:val="595959"/>
                          <w:sz w:val="18"/>
                          <w:szCs w:val="18"/>
                        </w:rPr>
                        <w:t>their</w:t>
                      </w:r>
                      <w:r w:rsidRPr="006B6206">
                        <w:rPr>
                          <w:rFonts w:cs="Times New Roman"/>
                          <w:color w:val="595959"/>
                          <w:sz w:val="18"/>
                          <w:szCs w:val="18"/>
                        </w:rPr>
                        <w:t xml:space="preserve"> </w:t>
                      </w:r>
                      <w:r>
                        <w:rPr>
                          <w:rFonts w:cs="Times New Roman"/>
                          <w:color w:val="595959"/>
                          <w:sz w:val="18"/>
                          <w:szCs w:val="18"/>
                        </w:rPr>
                        <w:t>application</w:t>
                      </w:r>
                      <w:r w:rsidRPr="006B6206">
                        <w:rPr>
                          <w:rFonts w:cs="Times New Roman"/>
                          <w:color w:val="595959"/>
                          <w:sz w:val="18"/>
                          <w:szCs w:val="18"/>
                        </w:rPr>
                        <w:t xml:space="preserve"> in any official EU language. However, for reasons of efficiency, </w:t>
                      </w:r>
                      <w:r>
                        <w:rPr>
                          <w:rFonts w:cs="Times New Roman"/>
                          <w:color w:val="595959"/>
                          <w:sz w:val="18"/>
                          <w:szCs w:val="18"/>
                        </w:rPr>
                        <w:t>it is</w:t>
                      </w:r>
                      <w:r w:rsidRPr="006B6206">
                        <w:rPr>
                          <w:rFonts w:cs="Times New Roman"/>
                          <w:color w:val="595959"/>
                          <w:sz w:val="18"/>
                          <w:szCs w:val="18"/>
                        </w:rPr>
                        <w:t xml:space="preserve"> strongly advise</w:t>
                      </w:r>
                      <w:r>
                        <w:rPr>
                          <w:rFonts w:cs="Times New Roman"/>
                          <w:color w:val="595959"/>
                          <w:sz w:val="18"/>
                          <w:szCs w:val="18"/>
                        </w:rPr>
                        <w:t>d</w:t>
                      </w:r>
                      <w:r w:rsidRPr="006B6206">
                        <w:rPr>
                          <w:rFonts w:cs="Times New Roman"/>
                          <w:color w:val="595959"/>
                          <w:sz w:val="18"/>
                          <w:szCs w:val="18"/>
                        </w:rPr>
                        <w:t xml:space="preserve"> to use English. If </w:t>
                      </w:r>
                      <w:r>
                        <w:rPr>
                          <w:rFonts w:cs="Times New Roman"/>
                          <w:color w:val="595959"/>
                          <w:sz w:val="18"/>
                          <w:szCs w:val="18"/>
                        </w:rPr>
                        <w:t>applicants</w:t>
                      </w:r>
                      <w:r w:rsidRPr="006B6206">
                        <w:rPr>
                          <w:rFonts w:cs="Times New Roman"/>
                          <w:color w:val="595959"/>
                          <w:sz w:val="18"/>
                          <w:szCs w:val="18"/>
                        </w:rPr>
                        <w:t xml:space="preserve"> need the call documentation in another official EU language, </w:t>
                      </w:r>
                      <w:r>
                        <w:rPr>
                          <w:rFonts w:cs="Times New Roman"/>
                          <w:color w:val="595959"/>
                          <w:sz w:val="18"/>
                          <w:szCs w:val="18"/>
                        </w:rPr>
                        <w:t>they must</w:t>
                      </w:r>
                      <w:r w:rsidRPr="006B6206">
                        <w:rPr>
                          <w:rFonts w:cs="Times New Roman"/>
                          <w:color w:val="595959"/>
                          <w:sz w:val="18"/>
                          <w:szCs w:val="18"/>
                        </w:rPr>
                        <w:t xml:space="preserve"> submit a request within 10 days after publication </w:t>
                      </w:r>
                      <w:r>
                        <w:rPr>
                          <w:rFonts w:cs="Times New Roman"/>
                          <w:color w:val="595959"/>
                          <w:sz w:val="18"/>
                          <w:szCs w:val="18"/>
                        </w:rPr>
                        <w:t xml:space="preserve">of the call </w:t>
                      </w:r>
                      <w:r w:rsidRPr="006B6206">
                        <w:rPr>
                          <w:rFonts w:cs="Times New Roman"/>
                          <w:color w:val="595959"/>
                          <w:sz w:val="18"/>
                          <w:szCs w:val="18"/>
                        </w:rPr>
                        <w:t xml:space="preserve">(for the contact information, </w:t>
                      </w:r>
                      <w:r w:rsidRPr="00862B39">
                        <w:rPr>
                          <w:rFonts w:cs="Times New Roman"/>
                          <w:i/>
                          <w:color w:val="595959"/>
                          <w:sz w:val="18"/>
                          <w:szCs w:val="18"/>
                        </w:rPr>
                        <w:t xml:space="preserve">see </w:t>
                      </w:r>
                      <w:r>
                        <w:rPr>
                          <w:rFonts w:cs="Times New Roman"/>
                          <w:i/>
                          <w:color w:val="595959"/>
                          <w:sz w:val="18"/>
                          <w:szCs w:val="18"/>
                        </w:rPr>
                        <w:t>topic page</w:t>
                      </w:r>
                      <w:r w:rsidRPr="006B6206">
                        <w:rPr>
                          <w:rFonts w:cs="Times New Roman"/>
                          <w:color w:val="595959"/>
                          <w:sz w:val="18"/>
                          <w:szCs w:val="18"/>
                        </w:rPr>
                        <w:t>).</w:t>
                      </w:r>
                    </w:p>
                    <w:p w14:paraId="082B1116" w14:textId="401AA7C0" w:rsidR="004746B1" w:rsidRPr="00862B39" w:rsidRDefault="004746B1" w:rsidP="00C60BD6">
                      <w:pPr>
                        <w:numPr>
                          <w:ilvl w:val="0"/>
                          <w:numId w:val="11"/>
                        </w:numPr>
                        <w:spacing w:line="240" w:lineRule="auto"/>
                        <w:ind w:left="480" w:right="79"/>
                        <w:rPr>
                          <w:rFonts w:cs="Times New Roman"/>
                          <w:b/>
                          <w:bCs/>
                          <w:noProof/>
                          <w:sz w:val="18"/>
                          <w:szCs w:val="18"/>
                        </w:rPr>
                      </w:pPr>
                      <w:r w:rsidRPr="00862B39">
                        <w:rPr>
                          <w:rFonts w:cs="Times New Roman"/>
                          <w:b/>
                          <w:color w:val="595959"/>
                          <w:sz w:val="18"/>
                          <w:szCs w:val="18"/>
                        </w:rPr>
                        <w:t xml:space="preserve">Rejection </w:t>
                      </w:r>
                      <w:r w:rsidRPr="00862B39">
                        <w:rPr>
                          <w:rFonts w:eastAsia="Calibri" w:cs="Times New Roman"/>
                          <w:b/>
                          <w:color w:val="595959"/>
                          <w:sz w:val="18"/>
                          <w:szCs w:val="18"/>
                        </w:rPr>
                        <w:t xml:space="preserve">— </w:t>
                      </w:r>
                      <w:r w:rsidRPr="00862B39">
                        <w:rPr>
                          <w:rFonts w:cs="Times New Roman"/>
                          <w:color w:val="595959"/>
                          <w:sz w:val="18"/>
                          <w:szCs w:val="18"/>
                        </w:rPr>
                        <w:t xml:space="preserve">By submitting the </w:t>
                      </w:r>
                      <w:r>
                        <w:rPr>
                          <w:rFonts w:cs="Times New Roman"/>
                          <w:color w:val="595959"/>
                          <w:sz w:val="18"/>
                          <w:szCs w:val="18"/>
                        </w:rPr>
                        <w:t>application</w:t>
                      </w:r>
                      <w:r w:rsidRPr="00862B39">
                        <w:rPr>
                          <w:rFonts w:cs="Times New Roman"/>
                          <w:color w:val="595959"/>
                          <w:sz w:val="18"/>
                          <w:szCs w:val="18"/>
                        </w:rPr>
                        <w:t xml:space="preserve">, all applicants accept the </w:t>
                      </w:r>
                      <w:r>
                        <w:rPr>
                          <w:rFonts w:cs="Times New Roman"/>
                          <w:color w:val="595959"/>
                          <w:sz w:val="18"/>
                          <w:szCs w:val="18"/>
                        </w:rPr>
                        <w:t xml:space="preserve">general </w:t>
                      </w:r>
                      <w:r w:rsidRPr="00862B39">
                        <w:rPr>
                          <w:rFonts w:cs="Times New Roman"/>
                          <w:color w:val="595959"/>
                          <w:sz w:val="18"/>
                          <w:szCs w:val="18"/>
                        </w:rPr>
                        <w:t xml:space="preserve">call conditions set out in </w:t>
                      </w:r>
                      <w:r>
                        <w:rPr>
                          <w:rFonts w:cs="Times New Roman"/>
                          <w:color w:val="595959"/>
                          <w:sz w:val="18"/>
                          <w:szCs w:val="18"/>
                        </w:rPr>
                        <w:t>the General Annexes and the specific call conditions set out in the topics</w:t>
                      </w:r>
                      <w:r w:rsidRPr="00862B39">
                        <w:rPr>
                          <w:rFonts w:cs="Times New Roman"/>
                          <w:color w:val="595959"/>
                          <w:sz w:val="18"/>
                          <w:szCs w:val="18"/>
                        </w:rPr>
                        <w:t xml:space="preserve">. </w:t>
                      </w:r>
                      <w:r>
                        <w:rPr>
                          <w:rFonts w:cs="Times New Roman"/>
                          <w:color w:val="595959"/>
                          <w:sz w:val="18"/>
                          <w:szCs w:val="18"/>
                        </w:rPr>
                        <w:t>Application</w:t>
                      </w:r>
                      <w:r w:rsidRPr="00862B39">
                        <w:rPr>
                          <w:rFonts w:cs="Times New Roman"/>
                          <w:color w:val="595959"/>
                          <w:sz w:val="18"/>
                          <w:szCs w:val="18"/>
                        </w:rPr>
                        <w:t xml:space="preserve">s that do not comply with all the call conditions will be </w:t>
                      </w:r>
                      <w:r w:rsidRPr="00862B39">
                        <w:rPr>
                          <w:rFonts w:cs="Times New Roman"/>
                          <w:b/>
                          <w:color w:val="595959"/>
                          <w:sz w:val="18"/>
                          <w:szCs w:val="18"/>
                        </w:rPr>
                        <w:t>rejected</w:t>
                      </w:r>
                      <w:r w:rsidRPr="00862B39">
                        <w:rPr>
                          <w:rFonts w:cs="Times New Roman"/>
                          <w:color w:val="595959"/>
                          <w:sz w:val="18"/>
                          <w:szCs w:val="18"/>
                        </w:rPr>
                        <w:t xml:space="preserve">. This applies also to applicants: </w:t>
                      </w:r>
                      <w:r>
                        <w:rPr>
                          <w:rFonts w:cs="Times New Roman"/>
                          <w:color w:val="595959"/>
                          <w:sz w:val="18"/>
                          <w:szCs w:val="18"/>
                        </w:rPr>
                        <w:t>a</w:t>
                      </w:r>
                      <w:r w:rsidRPr="00862B39">
                        <w:rPr>
                          <w:rFonts w:cs="Times New Roman"/>
                          <w:color w:val="595959"/>
                          <w:sz w:val="18"/>
                          <w:szCs w:val="18"/>
                        </w:rPr>
                        <w:t>ll applicants need to fulfil the criteria; if any one of them does</w:t>
                      </w:r>
                      <w:r>
                        <w:rPr>
                          <w:rFonts w:cs="Times New Roman"/>
                          <w:color w:val="595959"/>
                          <w:sz w:val="18"/>
                          <w:szCs w:val="18"/>
                        </w:rPr>
                        <w:t xml:space="preserve"> </w:t>
                      </w:r>
                      <w:r w:rsidRPr="00862B39">
                        <w:rPr>
                          <w:rFonts w:cs="Times New Roman"/>
                          <w:color w:val="595959"/>
                          <w:sz w:val="18"/>
                          <w:szCs w:val="18"/>
                        </w:rPr>
                        <w:t>n</w:t>
                      </w:r>
                      <w:r>
                        <w:rPr>
                          <w:rFonts w:cs="Times New Roman"/>
                          <w:color w:val="595959"/>
                          <w:sz w:val="18"/>
                          <w:szCs w:val="18"/>
                        </w:rPr>
                        <w:t>o</w:t>
                      </w:r>
                      <w:r w:rsidRPr="00862B39">
                        <w:rPr>
                          <w:rFonts w:cs="Times New Roman"/>
                          <w:color w:val="595959"/>
                          <w:sz w:val="18"/>
                          <w:szCs w:val="18"/>
                        </w:rPr>
                        <w:t xml:space="preserve">t, they must be replaced or the entire </w:t>
                      </w:r>
                      <w:r>
                        <w:rPr>
                          <w:rFonts w:cs="Times New Roman"/>
                          <w:color w:val="595959"/>
                          <w:sz w:val="18"/>
                          <w:szCs w:val="18"/>
                        </w:rPr>
                        <w:t>application</w:t>
                      </w:r>
                      <w:r w:rsidRPr="00862B39">
                        <w:rPr>
                          <w:rFonts w:cs="Times New Roman"/>
                          <w:color w:val="595959"/>
                          <w:sz w:val="18"/>
                          <w:szCs w:val="18"/>
                        </w:rPr>
                        <w:t xml:space="preserve"> will be rejected.</w:t>
                      </w:r>
                    </w:p>
                    <w:p w14:paraId="773B292B" w14:textId="59A23981" w:rsidR="004746B1" w:rsidRDefault="004746B1" w:rsidP="00C60BD6">
                      <w:pPr>
                        <w:numPr>
                          <w:ilvl w:val="0"/>
                          <w:numId w:val="11"/>
                        </w:numPr>
                        <w:spacing w:line="240" w:lineRule="auto"/>
                        <w:ind w:left="480" w:right="79"/>
                        <w:rPr>
                          <w:rFonts w:cs="Times New Roman"/>
                          <w:color w:val="595959"/>
                          <w:sz w:val="18"/>
                          <w:szCs w:val="18"/>
                        </w:rPr>
                      </w:pPr>
                      <w:r w:rsidRPr="00862B39">
                        <w:rPr>
                          <w:rFonts w:cs="Times New Roman"/>
                          <w:b/>
                          <w:color w:val="595959"/>
                          <w:sz w:val="18"/>
                          <w:szCs w:val="18"/>
                        </w:rPr>
                        <w:t xml:space="preserve">Cancellation </w:t>
                      </w:r>
                      <w:r w:rsidRPr="00862B39">
                        <w:rPr>
                          <w:rFonts w:eastAsia="Calibri" w:cs="Times New Roman"/>
                          <w:b/>
                          <w:color w:val="595959"/>
                          <w:sz w:val="18"/>
                          <w:szCs w:val="18"/>
                        </w:rPr>
                        <w:t xml:space="preserve">— </w:t>
                      </w:r>
                      <w:r w:rsidRPr="00862B39">
                        <w:rPr>
                          <w:rFonts w:eastAsia="Calibri" w:cs="Times New Roman"/>
                          <w:color w:val="595959"/>
                          <w:sz w:val="18"/>
                          <w:szCs w:val="18"/>
                        </w:rPr>
                        <w:t xml:space="preserve">There may be circumstances which may require the cancellation of the call. In this case, </w:t>
                      </w:r>
                      <w:r>
                        <w:rPr>
                          <w:rFonts w:eastAsia="Calibri" w:cs="Times New Roman"/>
                          <w:color w:val="595959"/>
                          <w:sz w:val="18"/>
                          <w:szCs w:val="18"/>
                        </w:rPr>
                        <w:t>applicants</w:t>
                      </w:r>
                      <w:r w:rsidRPr="00862B39">
                        <w:rPr>
                          <w:rFonts w:eastAsia="Calibri" w:cs="Times New Roman"/>
                          <w:color w:val="595959"/>
                          <w:sz w:val="18"/>
                          <w:szCs w:val="18"/>
                        </w:rPr>
                        <w:t xml:space="preserve"> will be informed via a call update. </w:t>
                      </w:r>
                      <w:r w:rsidR="00F92BF7">
                        <w:rPr>
                          <w:rFonts w:eastAsia="Calibri" w:cs="Times New Roman"/>
                          <w:color w:val="595959"/>
                          <w:sz w:val="18"/>
                          <w:szCs w:val="18"/>
                        </w:rPr>
                        <w:t>C</w:t>
                      </w:r>
                      <w:r w:rsidRPr="00862B39">
                        <w:rPr>
                          <w:rFonts w:eastAsia="Calibri" w:cs="Times New Roman"/>
                          <w:color w:val="595959"/>
                          <w:sz w:val="18"/>
                          <w:szCs w:val="18"/>
                        </w:rPr>
                        <w:t>ancellations are without entitlement to compensation.</w:t>
                      </w:r>
                    </w:p>
                    <w:p w14:paraId="33A74EF5" w14:textId="77777777" w:rsidR="004746B1" w:rsidRPr="0098363E" w:rsidRDefault="004746B1" w:rsidP="00C60BD6">
                      <w:pPr>
                        <w:pStyle w:val="Default"/>
                        <w:widowControl w:val="0"/>
                        <w:numPr>
                          <w:ilvl w:val="0"/>
                          <w:numId w:val="26"/>
                        </w:numPr>
                        <w:spacing w:after="120"/>
                        <w:ind w:left="480"/>
                        <w:jc w:val="both"/>
                        <w:rPr>
                          <w:color w:val="595959"/>
                          <w:sz w:val="18"/>
                          <w:szCs w:val="18"/>
                          <w:lang w:bidi="en-US"/>
                        </w:rPr>
                      </w:pPr>
                      <w:r w:rsidRPr="006B6206">
                        <w:rPr>
                          <w:b/>
                          <w:color w:val="595959"/>
                          <w:sz w:val="18"/>
                          <w:szCs w:val="18"/>
                        </w:rPr>
                        <w:t xml:space="preserve">Transparency </w:t>
                      </w:r>
                      <w:r w:rsidRPr="006B6206">
                        <w:rPr>
                          <w:rFonts w:eastAsia="Calibri"/>
                          <w:b/>
                          <w:color w:val="595959"/>
                          <w:sz w:val="18"/>
                          <w:szCs w:val="18"/>
                        </w:rPr>
                        <w:t>—</w:t>
                      </w:r>
                      <w:r w:rsidRPr="006B6206">
                        <w:rPr>
                          <w:color w:val="595959"/>
                          <w:sz w:val="18"/>
                          <w:szCs w:val="18"/>
                        </w:rPr>
                        <w:t xml:space="preserve"> </w:t>
                      </w:r>
                      <w:r w:rsidRPr="0098363E">
                        <w:rPr>
                          <w:rFonts w:cs="Arial"/>
                          <w:color w:val="595959"/>
                          <w:sz w:val="18"/>
                        </w:rPr>
                        <w:t xml:space="preserve">In accordance with Article 38 of the </w:t>
                      </w:r>
                      <w:hyperlink r:id="rId36" w:history="1">
                        <w:r w:rsidRPr="0098363E">
                          <w:rPr>
                            <w:rFonts w:cs="Arial"/>
                            <w:color w:val="0088CC"/>
                            <w:sz w:val="18"/>
                            <w:u w:val="single"/>
                          </w:rPr>
                          <w:t>EU Financial Regulation</w:t>
                        </w:r>
                      </w:hyperlink>
                      <w:r w:rsidRPr="0098363E">
                        <w:rPr>
                          <w:color w:val="595959"/>
                          <w:sz w:val="18"/>
                          <w:szCs w:val="18"/>
                        </w:rPr>
                        <w:t>,</w:t>
                      </w:r>
                      <w:r w:rsidRPr="0098363E">
                        <w:rPr>
                          <w:b/>
                          <w:color w:val="595959"/>
                          <w:sz w:val="18"/>
                          <w:szCs w:val="18"/>
                        </w:rPr>
                        <w:t xml:space="preserve"> </w:t>
                      </w:r>
                      <w:r w:rsidRPr="0098363E">
                        <w:rPr>
                          <w:color w:val="595959"/>
                          <w:sz w:val="18"/>
                          <w:szCs w:val="18"/>
                          <w:lang w:bidi="en-US"/>
                        </w:rPr>
                        <w:t>information about EU grants awarded is published each year on the</w:t>
                      </w:r>
                      <w:r w:rsidRPr="0098363E">
                        <w:rPr>
                          <w:sz w:val="18"/>
                          <w:szCs w:val="18"/>
                          <w:lang w:bidi="en-US"/>
                        </w:rPr>
                        <w:t xml:space="preserve"> </w:t>
                      </w:r>
                      <w:hyperlink r:id="rId37" w:history="1">
                        <w:r w:rsidRPr="0098363E">
                          <w:rPr>
                            <w:rStyle w:val="Hyperlink"/>
                            <w:sz w:val="18"/>
                            <w:szCs w:val="18"/>
                            <w:lang w:bidi="en-US"/>
                          </w:rPr>
                          <w:t>Europa website</w:t>
                        </w:r>
                      </w:hyperlink>
                      <w:r w:rsidRPr="0098363E">
                        <w:rPr>
                          <w:sz w:val="18"/>
                          <w:szCs w:val="18"/>
                          <w:lang w:bidi="en-US"/>
                        </w:rPr>
                        <w:t xml:space="preserve">. </w:t>
                      </w:r>
                    </w:p>
                    <w:p w14:paraId="348CDC0E" w14:textId="77777777" w:rsidR="004746B1" w:rsidRPr="006B6206" w:rsidRDefault="004746B1" w:rsidP="00C60BD6">
                      <w:pPr>
                        <w:pStyle w:val="Default"/>
                        <w:widowControl w:val="0"/>
                        <w:spacing w:after="120"/>
                        <w:ind w:left="480"/>
                        <w:jc w:val="both"/>
                        <w:rPr>
                          <w:color w:val="595959"/>
                          <w:sz w:val="18"/>
                          <w:szCs w:val="18"/>
                          <w:lang w:bidi="en-US"/>
                        </w:rPr>
                      </w:pPr>
                      <w:r w:rsidRPr="0098363E">
                        <w:rPr>
                          <w:color w:val="595959"/>
                          <w:sz w:val="18"/>
                          <w:szCs w:val="18"/>
                          <w:lang w:bidi="en-US"/>
                        </w:rPr>
                        <w:t>This includes</w:t>
                      </w:r>
                      <w:r w:rsidRPr="0098363E">
                        <w:rPr>
                          <w:color w:val="595959"/>
                          <w:sz w:val="18"/>
                          <w:szCs w:val="18"/>
                          <w:lang w:eastAsia="da-DK" w:bidi="da-DK"/>
                        </w:rPr>
                        <w:t>:</w:t>
                      </w:r>
                    </w:p>
                    <w:p w14:paraId="1AE2D0C4" w14:textId="3F84F204" w:rsidR="004746B1" w:rsidRPr="00862B39" w:rsidRDefault="004746B1" w:rsidP="00C60BD6">
                      <w:pPr>
                        <w:widowControl w:val="0"/>
                        <w:numPr>
                          <w:ilvl w:val="0"/>
                          <w:numId w:val="27"/>
                        </w:numPr>
                        <w:spacing w:after="120" w:line="240" w:lineRule="auto"/>
                        <w:ind w:left="1134" w:hanging="380"/>
                        <w:jc w:val="left"/>
                        <w:rPr>
                          <w:rFonts w:cs="Times New Roman"/>
                          <w:color w:val="595959"/>
                          <w:sz w:val="18"/>
                          <w:szCs w:val="18"/>
                          <w:lang w:bidi="en-US"/>
                        </w:rPr>
                      </w:pPr>
                      <w:r w:rsidRPr="00862B39">
                        <w:rPr>
                          <w:rFonts w:cs="Times New Roman"/>
                          <w:color w:val="595959"/>
                          <w:sz w:val="18"/>
                          <w:szCs w:val="18"/>
                          <w:lang w:eastAsia="nl-NL" w:bidi="nl-NL"/>
                        </w:rPr>
                        <w:t>b</w:t>
                      </w:r>
                      <w:r w:rsidRPr="00862B39">
                        <w:rPr>
                          <w:rFonts w:cs="Times New Roman"/>
                          <w:color w:val="595959"/>
                          <w:sz w:val="18"/>
                          <w:szCs w:val="18"/>
                          <w:lang w:bidi="en-US"/>
                        </w:rPr>
                        <w:t>eneficiar</w:t>
                      </w:r>
                      <w:r>
                        <w:rPr>
                          <w:rFonts w:cs="Times New Roman"/>
                          <w:color w:val="595959"/>
                          <w:sz w:val="18"/>
                          <w:szCs w:val="18"/>
                          <w:lang w:bidi="en-US"/>
                        </w:rPr>
                        <w:t>ies’</w:t>
                      </w:r>
                      <w:r w:rsidRPr="00862B39">
                        <w:rPr>
                          <w:rFonts w:cs="Times New Roman"/>
                          <w:color w:val="595959"/>
                          <w:sz w:val="18"/>
                          <w:szCs w:val="18"/>
                          <w:lang w:bidi="en-US"/>
                        </w:rPr>
                        <w:t xml:space="preserve"> names</w:t>
                      </w:r>
                      <w:r>
                        <w:rPr>
                          <w:rFonts w:cs="Times New Roman"/>
                          <w:color w:val="595959"/>
                          <w:sz w:val="18"/>
                          <w:szCs w:val="18"/>
                          <w:lang w:bidi="en-US"/>
                        </w:rPr>
                        <w:t>;</w:t>
                      </w:r>
                    </w:p>
                    <w:p w14:paraId="0A6FB437" w14:textId="6A45495C" w:rsidR="004746B1" w:rsidRPr="00862B39" w:rsidRDefault="004746B1" w:rsidP="00C60BD6">
                      <w:pPr>
                        <w:widowControl w:val="0"/>
                        <w:numPr>
                          <w:ilvl w:val="0"/>
                          <w:numId w:val="27"/>
                        </w:numPr>
                        <w:spacing w:after="120" w:line="240" w:lineRule="auto"/>
                        <w:ind w:left="1134" w:hanging="380"/>
                        <w:jc w:val="left"/>
                        <w:rPr>
                          <w:rFonts w:cs="Times New Roman"/>
                          <w:color w:val="595959"/>
                          <w:sz w:val="18"/>
                          <w:szCs w:val="18"/>
                          <w:lang w:bidi="en-US"/>
                        </w:rPr>
                      </w:pPr>
                      <w:r w:rsidRPr="00862B39">
                        <w:rPr>
                          <w:rFonts w:cs="Times New Roman"/>
                          <w:color w:val="595959"/>
                          <w:sz w:val="18"/>
                          <w:szCs w:val="18"/>
                          <w:lang w:bidi="en-US"/>
                        </w:rPr>
                        <w:t>beneficiar</w:t>
                      </w:r>
                      <w:r>
                        <w:rPr>
                          <w:rFonts w:cs="Times New Roman"/>
                          <w:color w:val="595959"/>
                          <w:sz w:val="18"/>
                          <w:szCs w:val="18"/>
                          <w:lang w:bidi="en-US"/>
                        </w:rPr>
                        <w:t>ies’</w:t>
                      </w:r>
                      <w:r w:rsidRPr="00862B39">
                        <w:rPr>
                          <w:rFonts w:cs="Times New Roman"/>
                          <w:color w:val="595959"/>
                          <w:sz w:val="18"/>
                          <w:szCs w:val="18"/>
                          <w:lang w:bidi="en-US"/>
                        </w:rPr>
                        <w:t xml:space="preserve"> addresses</w:t>
                      </w:r>
                      <w:r>
                        <w:rPr>
                          <w:rFonts w:cs="Times New Roman"/>
                          <w:color w:val="595959"/>
                          <w:sz w:val="18"/>
                          <w:szCs w:val="18"/>
                          <w:lang w:bidi="en-US"/>
                        </w:rPr>
                        <w:t>;</w:t>
                      </w:r>
                    </w:p>
                    <w:p w14:paraId="7A61609E" w14:textId="3F67DE5A" w:rsidR="004746B1" w:rsidRPr="00862B39" w:rsidRDefault="004746B1" w:rsidP="00C60BD6">
                      <w:pPr>
                        <w:widowControl w:val="0"/>
                        <w:numPr>
                          <w:ilvl w:val="0"/>
                          <w:numId w:val="27"/>
                        </w:numPr>
                        <w:spacing w:after="120" w:line="240" w:lineRule="auto"/>
                        <w:ind w:left="1134" w:hanging="380"/>
                        <w:jc w:val="left"/>
                        <w:rPr>
                          <w:rFonts w:cs="Times New Roman"/>
                          <w:color w:val="595959"/>
                          <w:sz w:val="18"/>
                          <w:szCs w:val="18"/>
                          <w:lang w:bidi="en-US"/>
                        </w:rPr>
                      </w:pPr>
                      <w:r w:rsidRPr="00862B39">
                        <w:rPr>
                          <w:rFonts w:cs="Times New Roman"/>
                          <w:color w:val="595959"/>
                          <w:sz w:val="18"/>
                          <w:szCs w:val="18"/>
                          <w:lang w:bidi="en-US"/>
                        </w:rPr>
                        <w:t>the purpose for which the grant was awarded</w:t>
                      </w:r>
                      <w:r>
                        <w:rPr>
                          <w:rFonts w:cs="Times New Roman"/>
                          <w:color w:val="595959"/>
                          <w:sz w:val="18"/>
                          <w:szCs w:val="18"/>
                          <w:lang w:bidi="en-US"/>
                        </w:rPr>
                        <w:t>;</w:t>
                      </w:r>
                    </w:p>
                    <w:p w14:paraId="04C487E9" w14:textId="77777777" w:rsidR="004746B1" w:rsidRPr="00862B39" w:rsidRDefault="004746B1" w:rsidP="00C60BD6">
                      <w:pPr>
                        <w:widowControl w:val="0"/>
                        <w:numPr>
                          <w:ilvl w:val="0"/>
                          <w:numId w:val="27"/>
                        </w:numPr>
                        <w:spacing w:after="120" w:line="240" w:lineRule="auto"/>
                        <w:ind w:left="1134" w:hanging="380"/>
                        <w:jc w:val="left"/>
                        <w:rPr>
                          <w:rFonts w:cs="Times New Roman"/>
                          <w:color w:val="595959"/>
                          <w:sz w:val="18"/>
                          <w:szCs w:val="18"/>
                          <w:lang w:bidi="en-US"/>
                        </w:rPr>
                      </w:pPr>
                      <w:r w:rsidRPr="00862B39">
                        <w:rPr>
                          <w:rFonts w:cs="Times New Roman"/>
                          <w:color w:val="595959"/>
                          <w:sz w:val="18"/>
                          <w:szCs w:val="18"/>
                          <w:lang w:bidi="en-US"/>
                        </w:rPr>
                        <w:t>the maximum amount awarded.</w:t>
                      </w:r>
                      <w:r w:rsidRPr="00862B39">
                        <w:rPr>
                          <w:rFonts w:cs="Times New Roman"/>
                          <w:color w:val="595959"/>
                          <w:sz w:val="18"/>
                          <w:szCs w:val="18"/>
                          <w:lang w:bidi="en-US"/>
                        </w:rPr>
                        <w:tab/>
                      </w:r>
                    </w:p>
                    <w:p w14:paraId="029EA886" w14:textId="15F05035" w:rsidR="004746B1" w:rsidRPr="00862B39" w:rsidRDefault="004746B1" w:rsidP="00C60BD6">
                      <w:pPr>
                        <w:widowControl w:val="0"/>
                        <w:ind w:left="480"/>
                        <w:rPr>
                          <w:rFonts w:cs="Times New Roman"/>
                          <w:color w:val="595959"/>
                          <w:sz w:val="18"/>
                          <w:szCs w:val="18"/>
                          <w:lang w:bidi="en-US"/>
                        </w:rPr>
                      </w:pPr>
                      <w:r>
                        <w:rPr>
                          <w:rFonts w:cs="Times New Roman"/>
                          <w:color w:val="595959"/>
                          <w:sz w:val="18"/>
                          <w:szCs w:val="18"/>
                          <w:lang w:bidi="en-US"/>
                        </w:rPr>
                        <w:t>P</w:t>
                      </w:r>
                      <w:r w:rsidRPr="00862B39">
                        <w:rPr>
                          <w:rFonts w:cs="Times New Roman"/>
                          <w:color w:val="595959"/>
                          <w:sz w:val="18"/>
                          <w:szCs w:val="18"/>
                          <w:lang w:bidi="en-US"/>
                        </w:rPr>
                        <w:t>ublication can exceptionally be waived (</w:t>
                      </w:r>
                      <w:r>
                        <w:rPr>
                          <w:rFonts w:cs="Times New Roman"/>
                          <w:color w:val="595959"/>
                          <w:sz w:val="18"/>
                          <w:szCs w:val="18"/>
                          <w:lang w:bidi="en-US"/>
                        </w:rPr>
                        <w:t>following</w:t>
                      </w:r>
                      <w:r w:rsidRPr="00862B39">
                        <w:rPr>
                          <w:rFonts w:cs="Times New Roman"/>
                          <w:color w:val="595959"/>
                          <w:sz w:val="18"/>
                          <w:szCs w:val="18"/>
                          <w:lang w:bidi="en-US"/>
                        </w:rPr>
                        <w:t xml:space="preserve"> </w:t>
                      </w:r>
                      <w:r>
                        <w:rPr>
                          <w:rFonts w:cs="Times New Roman"/>
                          <w:color w:val="595959"/>
                          <w:sz w:val="18"/>
                          <w:szCs w:val="18"/>
                          <w:lang w:bidi="en-US"/>
                        </w:rPr>
                        <w:t xml:space="preserve">a </w:t>
                      </w:r>
                      <w:r w:rsidRPr="00862B39">
                        <w:rPr>
                          <w:rFonts w:cs="Times New Roman"/>
                          <w:color w:val="595959"/>
                          <w:sz w:val="18"/>
                          <w:szCs w:val="18"/>
                          <w:lang w:bidi="en-US"/>
                        </w:rPr>
                        <w:t xml:space="preserve">reasoned and duly substantiated request), if there is a risk that disclosure could jeopardise </w:t>
                      </w:r>
                      <w:r>
                        <w:rPr>
                          <w:rFonts w:cs="Times New Roman"/>
                          <w:color w:val="595959"/>
                          <w:sz w:val="18"/>
                          <w:szCs w:val="18"/>
                          <w:lang w:bidi="en-US"/>
                        </w:rPr>
                        <w:t>applicants’</w:t>
                      </w:r>
                      <w:r w:rsidRPr="00862B39">
                        <w:rPr>
                          <w:rFonts w:cs="Times New Roman"/>
                          <w:color w:val="595959"/>
                          <w:sz w:val="18"/>
                          <w:szCs w:val="18"/>
                          <w:lang w:bidi="en-US"/>
                        </w:rPr>
                        <w:t xml:space="preserve"> rights and freedoms under the</w:t>
                      </w:r>
                      <w:r w:rsidRPr="00862B39">
                        <w:rPr>
                          <w:rFonts w:cs="Times New Roman"/>
                          <w:color w:val="595959"/>
                          <w:sz w:val="18"/>
                          <w:szCs w:val="18"/>
                          <w:lang w:eastAsia="nl-NL" w:bidi="nl-NL"/>
                        </w:rPr>
                        <w:t xml:space="preserve"> EU </w:t>
                      </w:r>
                      <w:r w:rsidRPr="00862B39">
                        <w:rPr>
                          <w:rFonts w:cs="Times New Roman"/>
                          <w:color w:val="595959"/>
                          <w:sz w:val="18"/>
                          <w:szCs w:val="18"/>
                          <w:lang w:bidi="en-US"/>
                        </w:rPr>
                        <w:t xml:space="preserve">Charter of Fundamental Rights or harm </w:t>
                      </w:r>
                      <w:r>
                        <w:rPr>
                          <w:rFonts w:cs="Times New Roman"/>
                          <w:color w:val="595959"/>
                          <w:sz w:val="18"/>
                          <w:szCs w:val="18"/>
                          <w:lang w:eastAsia="nl-NL" w:bidi="nl-NL"/>
                        </w:rPr>
                        <w:t>its</w:t>
                      </w:r>
                      <w:r w:rsidRPr="00862B39">
                        <w:rPr>
                          <w:rFonts w:cs="Times New Roman"/>
                          <w:color w:val="595959"/>
                          <w:sz w:val="18"/>
                          <w:szCs w:val="18"/>
                          <w:lang w:eastAsia="nl-NL" w:bidi="nl-NL"/>
                        </w:rPr>
                        <w:t xml:space="preserve"> </w:t>
                      </w:r>
                      <w:r w:rsidRPr="00862B39">
                        <w:rPr>
                          <w:rFonts w:cs="Times New Roman"/>
                          <w:color w:val="595959"/>
                          <w:sz w:val="18"/>
                          <w:szCs w:val="18"/>
                          <w:lang w:bidi="en-US"/>
                        </w:rPr>
                        <w:t>commercial interests.</w:t>
                      </w:r>
                    </w:p>
                    <w:p w14:paraId="1BB3DCF9" w14:textId="58182C16" w:rsidR="004746B1" w:rsidRPr="006B6206" w:rsidRDefault="004746B1" w:rsidP="00C60BD6">
                      <w:pPr>
                        <w:numPr>
                          <w:ilvl w:val="0"/>
                          <w:numId w:val="11"/>
                        </w:numPr>
                        <w:spacing w:line="240" w:lineRule="auto"/>
                        <w:ind w:left="480" w:right="79"/>
                        <w:rPr>
                          <w:rFonts w:cs="Times New Roman"/>
                          <w:color w:val="595959"/>
                          <w:sz w:val="18"/>
                          <w:szCs w:val="18"/>
                        </w:rPr>
                      </w:pPr>
                      <w:r w:rsidRPr="006B6206">
                        <w:rPr>
                          <w:rFonts w:cs="Times New Roman"/>
                          <w:b/>
                          <w:color w:val="595959"/>
                          <w:sz w:val="18"/>
                          <w:szCs w:val="18"/>
                        </w:rPr>
                        <w:t>Data protection</w:t>
                      </w:r>
                      <w:r w:rsidRPr="00156DF3">
                        <w:rPr>
                          <w:rFonts w:cs="Times New Roman"/>
                          <w:color w:val="595959"/>
                          <w:sz w:val="18"/>
                          <w:szCs w:val="18"/>
                        </w:rPr>
                        <w:t xml:space="preserve"> — The submission of </w:t>
                      </w:r>
                      <w:r>
                        <w:rPr>
                          <w:rFonts w:cs="Times New Roman"/>
                          <w:color w:val="595959"/>
                          <w:sz w:val="18"/>
                          <w:szCs w:val="18"/>
                        </w:rPr>
                        <w:t>an application</w:t>
                      </w:r>
                      <w:r w:rsidRPr="00156DF3">
                        <w:rPr>
                          <w:rFonts w:cs="Times New Roman"/>
                          <w:color w:val="595959"/>
                          <w:sz w:val="18"/>
                          <w:szCs w:val="18"/>
                        </w:rPr>
                        <w:t xml:space="preserve"> under this call involves the collection, use and processing of personal data. This data will be processed in accordance with Regulation </w:t>
                      </w:r>
                      <w:hyperlink r:id="rId38" w:history="1">
                        <w:r w:rsidRPr="00862B39">
                          <w:rPr>
                            <w:rStyle w:val="Hyperlink"/>
                            <w:rFonts w:cs="Times New Roman"/>
                            <w:sz w:val="18"/>
                            <w:szCs w:val="18"/>
                          </w:rPr>
                          <w:t>2018/1725</w:t>
                        </w:r>
                      </w:hyperlink>
                      <w:r w:rsidRPr="00156DF3">
                        <w:rPr>
                          <w:rFonts w:cs="Times New Roman"/>
                          <w:color w:val="595959"/>
                          <w:sz w:val="18"/>
                          <w:szCs w:val="18"/>
                        </w:rPr>
                        <w:t xml:space="preserve">. It will be processed solely for the purpose of evaluating </w:t>
                      </w:r>
                      <w:r>
                        <w:rPr>
                          <w:rFonts w:cs="Times New Roman"/>
                          <w:color w:val="595959"/>
                          <w:sz w:val="18"/>
                          <w:szCs w:val="18"/>
                        </w:rPr>
                        <w:t>the</w:t>
                      </w:r>
                      <w:r w:rsidRPr="00156DF3">
                        <w:rPr>
                          <w:rFonts w:cs="Times New Roman"/>
                          <w:color w:val="595959"/>
                          <w:sz w:val="18"/>
                          <w:szCs w:val="18"/>
                        </w:rPr>
                        <w:t xml:space="preserve"> </w:t>
                      </w:r>
                      <w:r>
                        <w:rPr>
                          <w:rFonts w:cs="Times New Roman"/>
                          <w:color w:val="595959"/>
                          <w:sz w:val="18"/>
                          <w:szCs w:val="18"/>
                        </w:rPr>
                        <w:t>application</w:t>
                      </w:r>
                      <w:r w:rsidRPr="00156DF3">
                        <w:rPr>
                          <w:rFonts w:cs="Times New Roman"/>
                          <w:color w:val="595959"/>
                          <w:sz w:val="18"/>
                          <w:szCs w:val="18"/>
                        </w:rPr>
                        <w:t xml:space="preserve"> (and subsequent management of </w:t>
                      </w:r>
                      <w:r>
                        <w:rPr>
                          <w:rFonts w:cs="Times New Roman"/>
                          <w:color w:val="595959"/>
                          <w:sz w:val="18"/>
                          <w:szCs w:val="18"/>
                        </w:rPr>
                        <w:t>the</w:t>
                      </w:r>
                      <w:r w:rsidRPr="00156DF3">
                        <w:rPr>
                          <w:rFonts w:cs="Times New Roman"/>
                          <w:color w:val="595959"/>
                          <w:sz w:val="18"/>
                          <w:szCs w:val="18"/>
                        </w:rPr>
                        <w:t xml:space="preserve"> grant </w:t>
                      </w:r>
                      <w:r w:rsidRPr="00B23708">
                        <w:rPr>
                          <w:rFonts w:cs="Times New Roman"/>
                          <w:color w:val="595959"/>
                          <w:sz w:val="18"/>
                          <w:szCs w:val="18"/>
                        </w:rPr>
                        <w:t xml:space="preserve">and, if needed, programme monitoring, evaluation and communication). Details are explained in the Funding &amp; Tenders Portal </w:t>
                      </w:r>
                      <w:r>
                        <w:rPr>
                          <w:rFonts w:cs="Times New Roman"/>
                          <w:color w:val="595959"/>
                          <w:sz w:val="18"/>
                          <w:szCs w:val="18"/>
                        </w:rPr>
                        <w:t>p</w:t>
                      </w:r>
                      <w:r w:rsidRPr="00B23708">
                        <w:rPr>
                          <w:rFonts w:cs="Times New Roman"/>
                          <w:color w:val="595959"/>
                          <w:sz w:val="18"/>
                          <w:szCs w:val="18"/>
                        </w:rPr>
                        <w:t xml:space="preserve">rivacy </w:t>
                      </w:r>
                      <w:r>
                        <w:rPr>
                          <w:rFonts w:cs="Times New Roman"/>
                          <w:color w:val="595959"/>
                          <w:sz w:val="18"/>
                          <w:szCs w:val="18"/>
                        </w:rPr>
                        <w:t>s</w:t>
                      </w:r>
                      <w:r w:rsidRPr="00B23708">
                        <w:rPr>
                          <w:rFonts w:cs="Times New Roman"/>
                          <w:color w:val="595959"/>
                          <w:sz w:val="18"/>
                          <w:szCs w:val="18"/>
                        </w:rPr>
                        <w:t>tatement</w:t>
                      </w:r>
                      <w:r w:rsidRPr="00156DF3">
                        <w:rPr>
                          <w:rFonts w:cs="Times New Roman"/>
                          <w:color w:val="595959"/>
                          <w:sz w:val="18"/>
                          <w:szCs w:val="18"/>
                        </w:rPr>
                        <w:t>.</w:t>
                      </w:r>
                    </w:p>
                  </w:txbxContent>
                </v:textbox>
              </v:shape>
            </w:pict>
          </mc:Fallback>
        </mc:AlternateContent>
      </w:r>
    </w:p>
    <w:p w14:paraId="4ABB3B8C" w14:textId="77777777" w:rsidR="00C60BD6" w:rsidRPr="00A836B9" w:rsidRDefault="00C60BD6" w:rsidP="00C60BD6">
      <w:pPr>
        <w:rPr>
          <w:szCs w:val="24"/>
        </w:rPr>
      </w:pPr>
    </w:p>
    <w:p w14:paraId="0BE84E7E" w14:textId="77777777" w:rsidR="00C60BD6" w:rsidRPr="00A836B9" w:rsidRDefault="00C60BD6" w:rsidP="00C60BD6">
      <w:pPr>
        <w:rPr>
          <w:szCs w:val="24"/>
        </w:rPr>
      </w:pPr>
    </w:p>
    <w:p w14:paraId="6A17E913" w14:textId="77777777" w:rsidR="00C60BD6" w:rsidRPr="00A836B9" w:rsidRDefault="00C60BD6" w:rsidP="00C60BD6">
      <w:pPr>
        <w:rPr>
          <w:szCs w:val="24"/>
        </w:rPr>
      </w:pPr>
    </w:p>
    <w:p w14:paraId="32556BAC" w14:textId="77777777" w:rsidR="00C60BD6" w:rsidRPr="00A836B9" w:rsidRDefault="00C60BD6" w:rsidP="00C60BD6">
      <w:pPr>
        <w:rPr>
          <w:szCs w:val="24"/>
        </w:rPr>
      </w:pPr>
    </w:p>
    <w:p w14:paraId="1210834C" w14:textId="77777777" w:rsidR="00C60BD6" w:rsidRPr="00A836B9" w:rsidRDefault="00C60BD6" w:rsidP="00C60BD6">
      <w:pPr>
        <w:rPr>
          <w:szCs w:val="24"/>
        </w:rPr>
      </w:pPr>
    </w:p>
    <w:p w14:paraId="1E89BDF9" w14:textId="77777777" w:rsidR="00C60BD6" w:rsidRPr="00A836B9" w:rsidRDefault="00C60BD6" w:rsidP="00C60BD6">
      <w:pPr>
        <w:rPr>
          <w:szCs w:val="24"/>
        </w:rPr>
      </w:pPr>
    </w:p>
    <w:p w14:paraId="2549B840" w14:textId="77777777" w:rsidR="00C60BD6" w:rsidRPr="00A836B9" w:rsidRDefault="00C60BD6" w:rsidP="00C60BD6">
      <w:pPr>
        <w:rPr>
          <w:szCs w:val="24"/>
        </w:rPr>
      </w:pPr>
    </w:p>
    <w:p w14:paraId="182E2AF8" w14:textId="77777777" w:rsidR="00C60BD6" w:rsidRPr="00A836B9" w:rsidRDefault="00C60BD6" w:rsidP="00C60BD6">
      <w:pPr>
        <w:rPr>
          <w:szCs w:val="24"/>
        </w:rPr>
      </w:pPr>
    </w:p>
    <w:p w14:paraId="3E333D04" w14:textId="77777777" w:rsidR="00C60BD6" w:rsidRPr="00A836B9" w:rsidRDefault="00C60BD6" w:rsidP="00C60BD6">
      <w:pPr>
        <w:rPr>
          <w:szCs w:val="24"/>
        </w:rPr>
      </w:pPr>
    </w:p>
    <w:p w14:paraId="4EB8A2E3" w14:textId="77777777" w:rsidR="00C60BD6" w:rsidRPr="00A836B9" w:rsidRDefault="00C60BD6" w:rsidP="00C60BD6">
      <w:pPr>
        <w:rPr>
          <w:szCs w:val="24"/>
        </w:rPr>
      </w:pPr>
    </w:p>
    <w:p w14:paraId="1C4DAF8A" w14:textId="77777777" w:rsidR="00C60BD6" w:rsidRPr="00A836B9" w:rsidRDefault="00C60BD6" w:rsidP="00C60BD6">
      <w:pPr>
        <w:rPr>
          <w:szCs w:val="24"/>
        </w:rPr>
      </w:pPr>
    </w:p>
    <w:p w14:paraId="6B540923" w14:textId="77777777" w:rsidR="00C60BD6" w:rsidRPr="00A836B9" w:rsidRDefault="00C60BD6" w:rsidP="00C60BD6">
      <w:pPr>
        <w:rPr>
          <w:szCs w:val="24"/>
        </w:rPr>
      </w:pPr>
    </w:p>
    <w:p w14:paraId="11EF72E9" w14:textId="77777777" w:rsidR="00C60BD6" w:rsidRPr="00A836B9" w:rsidRDefault="00C60BD6" w:rsidP="00C60BD6">
      <w:pPr>
        <w:rPr>
          <w:szCs w:val="24"/>
        </w:rPr>
      </w:pPr>
    </w:p>
    <w:p w14:paraId="2A181D67" w14:textId="77777777" w:rsidR="00C60BD6" w:rsidRPr="00A836B9" w:rsidRDefault="00C60BD6" w:rsidP="00C60BD6">
      <w:pPr>
        <w:rPr>
          <w:szCs w:val="24"/>
        </w:rPr>
      </w:pPr>
    </w:p>
    <w:p w14:paraId="7A2CBA34" w14:textId="77777777" w:rsidR="00C60BD6" w:rsidRPr="00A836B9" w:rsidRDefault="00C60BD6" w:rsidP="00C60BD6">
      <w:pPr>
        <w:rPr>
          <w:szCs w:val="24"/>
        </w:rPr>
      </w:pPr>
    </w:p>
    <w:p w14:paraId="20F0492A" w14:textId="77777777" w:rsidR="00C60BD6" w:rsidRPr="00A836B9" w:rsidRDefault="00C60BD6" w:rsidP="00C60BD6">
      <w:pPr>
        <w:rPr>
          <w:szCs w:val="24"/>
        </w:rPr>
      </w:pPr>
    </w:p>
    <w:p w14:paraId="3D3395DE" w14:textId="77777777" w:rsidR="00C60BD6" w:rsidRPr="00A836B9" w:rsidRDefault="00C60BD6" w:rsidP="00C60BD6">
      <w:pPr>
        <w:rPr>
          <w:szCs w:val="24"/>
        </w:rPr>
      </w:pPr>
    </w:p>
    <w:p w14:paraId="7F0935AB" w14:textId="77777777" w:rsidR="00C60BD6" w:rsidRPr="00A836B9" w:rsidRDefault="00C60BD6" w:rsidP="00C60BD6">
      <w:pPr>
        <w:rPr>
          <w:szCs w:val="24"/>
        </w:rPr>
      </w:pPr>
    </w:p>
    <w:p w14:paraId="1F5CE107" w14:textId="77777777" w:rsidR="00C60BD6" w:rsidRPr="00A836B9" w:rsidRDefault="00C60BD6" w:rsidP="00C60BD6">
      <w:pPr>
        <w:rPr>
          <w:szCs w:val="24"/>
        </w:rPr>
      </w:pPr>
    </w:p>
    <w:p w14:paraId="49317F6B" w14:textId="77777777" w:rsidR="00C60BD6" w:rsidRPr="00A836B9" w:rsidRDefault="00C60BD6" w:rsidP="00C60BD6">
      <w:pPr>
        <w:rPr>
          <w:szCs w:val="24"/>
        </w:rPr>
      </w:pPr>
    </w:p>
    <w:p w14:paraId="0AF1F65A" w14:textId="77777777" w:rsidR="00C60BD6" w:rsidRPr="00A836B9" w:rsidRDefault="00C60BD6" w:rsidP="00C60BD6">
      <w:pPr>
        <w:rPr>
          <w:szCs w:val="24"/>
        </w:rPr>
      </w:pPr>
    </w:p>
    <w:p w14:paraId="7F84A34C" w14:textId="77777777" w:rsidR="00C60BD6" w:rsidRPr="00A836B9" w:rsidRDefault="00C60BD6" w:rsidP="00C60BD6">
      <w:pPr>
        <w:rPr>
          <w:szCs w:val="24"/>
        </w:rPr>
      </w:pPr>
    </w:p>
    <w:p w14:paraId="1E799B30" w14:textId="77777777" w:rsidR="00C60BD6" w:rsidRPr="00A836B9" w:rsidRDefault="00C60BD6" w:rsidP="00C60BD6">
      <w:pPr>
        <w:jc w:val="left"/>
        <w:rPr>
          <w:szCs w:val="24"/>
        </w:rPr>
      </w:pPr>
      <w:r w:rsidRPr="00A836B9">
        <w:rPr>
          <w:szCs w:val="24"/>
        </w:rPr>
        <w:br w:type="page"/>
      </w:r>
    </w:p>
    <w:p w14:paraId="3A434E97" w14:textId="257C74D6" w:rsidR="00C60BD6" w:rsidRPr="00A836B9" w:rsidRDefault="00C60BD6" w:rsidP="490E705E">
      <w:pPr>
        <w:jc w:val="left"/>
        <w:outlineLvl w:val="0"/>
        <w:rPr>
          <w:b/>
          <w:bCs/>
          <w:u w:val="single"/>
        </w:rPr>
      </w:pPr>
      <w:bookmarkStart w:id="12" w:name="_Toc66355174"/>
      <w:r w:rsidRPr="00A836B9">
        <w:rPr>
          <w:b/>
          <w:bCs/>
          <w:u w:val="single"/>
        </w:rPr>
        <w:t>SPECIFIC CONDITIONS FOR ACTIONS WITH PCP/PPI</w:t>
      </w:r>
      <w:bookmarkEnd w:id="12"/>
    </w:p>
    <w:p w14:paraId="432ABBA4" w14:textId="77777777" w:rsidR="00C60BD6" w:rsidRPr="00A836B9" w:rsidRDefault="00C60BD6" w:rsidP="490E705E">
      <w:pPr>
        <w:keepNext/>
        <w:keepLines/>
        <w:spacing w:before="240" w:after="240"/>
        <w:outlineLvl w:val="1"/>
        <w:rPr>
          <w:rFonts w:eastAsiaTheme="majorEastAsia" w:cs="Times New Roman"/>
          <w:b/>
          <w:bCs/>
        </w:rPr>
      </w:pPr>
      <w:bookmarkStart w:id="13" w:name="_Toc66355175"/>
      <w:r w:rsidRPr="00A836B9">
        <w:rPr>
          <w:rFonts w:eastAsiaTheme="majorEastAsia" w:cs="Times New Roman"/>
          <w:b/>
          <w:bCs/>
        </w:rPr>
        <w:t>H — Specific conditions for actions implementing pre-commercial procurement or procurement of innovative solutions</w:t>
      </w:r>
      <w:bookmarkEnd w:id="13"/>
    </w:p>
    <w:p w14:paraId="596D52AD" w14:textId="25EA4C5D" w:rsidR="00C60BD6" w:rsidRPr="00A836B9" w:rsidRDefault="00C60BD6" w:rsidP="490E705E">
      <w:pPr>
        <w:rPr>
          <w:rFonts w:eastAsia="Times New Roman" w:cs="Times New Roman"/>
        </w:rPr>
      </w:pPr>
      <w:r w:rsidRPr="00A836B9">
        <w:rPr>
          <w:rFonts w:eastAsia="Times New Roman" w:cs="Times New Roman"/>
        </w:rPr>
        <w:t xml:space="preserve">This </w:t>
      </w:r>
      <w:r w:rsidR="00C40DC9" w:rsidRPr="00A836B9">
        <w:rPr>
          <w:rFonts w:eastAsia="Times New Roman" w:cs="Times New Roman"/>
        </w:rPr>
        <w:t>Annex</w:t>
      </w:r>
      <w:r w:rsidRPr="00A836B9">
        <w:rPr>
          <w:rFonts w:eastAsia="Times New Roman" w:cs="Times New Roman"/>
        </w:rPr>
        <w:t xml:space="preserve"> applies to all types of actions implementing pre-commercial procurement (PCP) and procurement of innovative solutions (PPI). It applies to both PCP/PPI actions and other types of actions which prepare and/or execute a PCP or PPI, for instance through subcontracting activities. </w:t>
      </w:r>
    </w:p>
    <w:p w14:paraId="5209975B" w14:textId="5D5AC43D" w:rsidR="00C60BD6" w:rsidRPr="00A836B9" w:rsidRDefault="00C60BD6" w:rsidP="490E705E">
      <w:pPr>
        <w:rPr>
          <w:rFonts w:eastAsia="Times New Roman" w:cs="Times New Roman"/>
          <w:b/>
          <w:bCs/>
          <w:i/>
          <w:iCs/>
          <w:u w:val="single"/>
        </w:rPr>
      </w:pPr>
      <w:r w:rsidRPr="00A836B9">
        <w:rPr>
          <w:rFonts w:eastAsia="Times New Roman" w:cs="Times New Roman"/>
          <w:b/>
          <w:bCs/>
          <w:i/>
          <w:iCs/>
          <w:u w:val="single"/>
        </w:rPr>
        <w:t xml:space="preserve">Requirements for all types of actions </w:t>
      </w:r>
      <w:r w:rsidR="490E705E" w:rsidRPr="00A836B9">
        <w:rPr>
          <w:rFonts w:eastAsia="Times New Roman" w:cs="Times New Roman"/>
          <w:b/>
          <w:bCs/>
          <w:i/>
          <w:iCs/>
          <w:u w:val="single"/>
        </w:rPr>
        <w:t>supporting</w:t>
      </w:r>
      <w:r w:rsidRPr="00A836B9">
        <w:rPr>
          <w:rFonts w:eastAsia="Times New Roman" w:cs="Times New Roman"/>
          <w:b/>
          <w:bCs/>
          <w:i/>
          <w:iCs/>
          <w:u w:val="single"/>
        </w:rPr>
        <w:t xml:space="preserve"> PCP or PPI </w:t>
      </w:r>
    </w:p>
    <w:p w14:paraId="55005619" w14:textId="7E274ED8" w:rsidR="00C60BD6" w:rsidRPr="00A836B9" w:rsidRDefault="00C60BD6" w:rsidP="490E705E">
      <w:pPr>
        <w:spacing w:after="120" w:line="240" w:lineRule="auto"/>
        <w:rPr>
          <w:rFonts w:eastAsia="Times New Roman" w:cs="Times New Roman"/>
        </w:rPr>
      </w:pPr>
      <w:r w:rsidRPr="00A836B9">
        <w:rPr>
          <w:rFonts w:eastAsia="Times New Roman" w:cs="Times New Roman"/>
        </w:rPr>
        <w:t>The PCP/PPI must be prepared and executed by one of the following:</w:t>
      </w:r>
    </w:p>
    <w:p w14:paraId="08F3E756" w14:textId="3AF983B3" w:rsidR="00C60BD6" w:rsidRPr="00A836B9" w:rsidRDefault="00C60BD6" w:rsidP="490E705E">
      <w:pPr>
        <w:numPr>
          <w:ilvl w:val="2"/>
          <w:numId w:val="18"/>
        </w:numPr>
        <w:spacing w:after="120"/>
        <w:ind w:left="709"/>
        <w:rPr>
          <w:rFonts w:eastAsia="Times New Roman" w:cs="Times New Roman"/>
        </w:rPr>
      </w:pPr>
      <w:r w:rsidRPr="00A836B9">
        <w:rPr>
          <w:rFonts w:eastAsia="Times New Roman" w:cs="Times New Roman"/>
        </w:rPr>
        <w:t xml:space="preserve">by one or more public procurer(s), plus possibly one or more private and/or NGO procurer(s) that provide similar services of public interest, that is (are) responsible for the acquisition and/or regulatory strategy </w:t>
      </w:r>
      <w:r w:rsidR="00F31F5B" w:rsidRPr="00A836B9">
        <w:rPr>
          <w:rFonts w:eastAsia="Times New Roman" w:cs="Times New Roman"/>
        </w:rPr>
        <w:t>of</w:t>
      </w:r>
      <w:r w:rsidRPr="00A836B9">
        <w:rPr>
          <w:rFonts w:eastAsia="Times New Roman" w:cs="Times New Roman"/>
        </w:rPr>
        <w:t xml:space="preserve"> the </w:t>
      </w:r>
      <w:r w:rsidR="00F31F5B" w:rsidRPr="00A836B9">
        <w:rPr>
          <w:rFonts w:eastAsia="Times New Roman" w:cs="Times New Roman"/>
        </w:rPr>
        <w:t xml:space="preserve">relevant </w:t>
      </w:r>
      <w:r w:rsidRPr="00A836B9">
        <w:rPr>
          <w:rFonts w:eastAsia="Times New Roman" w:cs="Times New Roman"/>
        </w:rPr>
        <w:t>innovative solutions and aim to obtain ambitious quality and efficiency improvements in the area of the PCP/PPI</w:t>
      </w:r>
      <w:r w:rsidR="00F31F5B" w:rsidRPr="00A836B9">
        <w:rPr>
          <w:rFonts w:eastAsia="Times New Roman" w:cs="Times New Roman"/>
        </w:rPr>
        <w:t>;</w:t>
      </w:r>
      <w:r w:rsidRPr="00A836B9">
        <w:rPr>
          <w:rFonts w:eastAsia="Times New Roman" w:cs="Times New Roman"/>
        </w:rPr>
        <w:t xml:space="preserve"> or</w:t>
      </w:r>
    </w:p>
    <w:p w14:paraId="0FFE7116" w14:textId="77777777" w:rsidR="00C60BD6" w:rsidRPr="00A836B9" w:rsidRDefault="00C60BD6" w:rsidP="490E705E">
      <w:pPr>
        <w:numPr>
          <w:ilvl w:val="2"/>
          <w:numId w:val="18"/>
        </w:numPr>
        <w:spacing w:after="120"/>
        <w:ind w:left="709"/>
        <w:rPr>
          <w:rFonts w:eastAsia="Times New Roman" w:cs="Times New Roman"/>
        </w:rPr>
      </w:pPr>
      <w:r w:rsidRPr="00A836B9">
        <w:rPr>
          <w:rFonts w:eastAsia="Times New Roman" w:cs="Times New Roman"/>
        </w:rPr>
        <w:t xml:space="preserve">by entities with a mandate from one or more of these procurers to act on their behalf in the procurement </w:t>
      </w:r>
      <w:r w:rsidRPr="00A836B9">
        <w:rPr>
          <w:rFonts w:eastAsia="Times New Roman" w:cs="Times New Roman"/>
          <w:iCs/>
        </w:rPr>
        <w:t>(e.g. central purchasing bodies)</w:t>
      </w:r>
      <w:r w:rsidRPr="00A836B9">
        <w:rPr>
          <w:rFonts w:eastAsia="Times New Roman" w:cs="Times New Roman"/>
        </w:rPr>
        <w:t xml:space="preserve">. </w:t>
      </w:r>
    </w:p>
    <w:p w14:paraId="2F451E3A" w14:textId="411CB773" w:rsidR="00C60BD6" w:rsidRPr="00A836B9" w:rsidRDefault="00C60BD6" w:rsidP="490E705E">
      <w:pPr>
        <w:spacing w:after="120"/>
        <w:rPr>
          <w:rFonts w:eastAsia="Times New Roman" w:cs="Times New Roman"/>
        </w:rPr>
      </w:pPr>
      <w:r w:rsidRPr="00A836B9">
        <w:rPr>
          <w:rFonts w:eastAsia="Times New Roman" w:cs="Times New Roman"/>
        </w:rPr>
        <w:t xml:space="preserve">Other entities </w:t>
      </w:r>
      <w:r w:rsidRPr="00A836B9">
        <w:rPr>
          <w:rFonts w:eastAsia="Times New Roman" w:cs="Times New Roman"/>
          <w:iCs/>
        </w:rPr>
        <w:t>(e.g. end-users)</w:t>
      </w:r>
      <w:r w:rsidRPr="00A836B9">
        <w:rPr>
          <w:rFonts w:eastAsia="Times New Roman" w:cs="Times New Roman"/>
        </w:rPr>
        <w:t xml:space="preserve"> that do not have a conflict of interest with the PCP/PPI, and whose participation in the action is well justified, may participate in ‘additional activities’ to prepare, manage and follow-up the PCP/PPI and embed </w:t>
      </w:r>
      <w:r w:rsidR="00F31F5B" w:rsidRPr="00A836B9">
        <w:rPr>
          <w:rFonts w:eastAsia="Times New Roman" w:cs="Times New Roman"/>
        </w:rPr>
        <w:t>it</w:t>
      </w:r>
      <w:r w:rsidRPr="00A836B9">
        <w:rPr>
          <w:rFonts w:eastAsia="Times New Roman" w:cs="Times New Roman"/>
        </w:rPr>
        <w:t xml:space="preserve"> into a wider set of demand</w:t>
      </w:r>
      <w:r w:rsidR="00995B7F" w:rsidRPr="00A836B9">
        <w:rPr>
          <w:rFonts w:eastAsia="Times New Roman" w:cs="Times New Roman"/>
        </w:rPr>
        <w:t>-</w:t>
      </w:r>
      <w:r w:rsidRPr="00A836B9">
        <w:rPr>
          <w:rFonts w:eastAsia="Times New Roman" w:cs="Times New Roman"/>
        </w:rPr>
        <w:t>side activities. This includes disseminat</w:t>
      </w:r>
      <w:r w:rsidR="00F31F5B" w:rsidRPr="00A836B9">
        <w:rPr>
          <w:rFonts w:eastAsia="Times New Roman" w:cs="Times New Roman"/>
        </w:rPr>
        <w:t>ing</w:t>
      </w:r>
      <w:r w:rsidRPr="00A836B9">
        <w:rPr>
          <w:rFonts w:eastAsia="Times New Roman" w:cs="Times New Roman"/>
        </w:rPr>
        <w:t xml:space="preserve"> results, removing obstacles </w:t>
      </w:r>
      <w:r w:rsidR="00F31F5B" w:rsidRPr="00A836B9">
        <w:rPr>
          <w:rFonts w:eastAsia="Times New Roman" w:cs="Times New Roman"/>
        </w:rPr>
        <w:t>to</w:t>
      </w:r>
      <w:r w:rsidRPr="00A836B9">
        <w:rPr>
          <w:rFonts w:eastAsia="Times New Roman" w:cs="Times New Roman"/>
        </w:rPr>
        <w:t xml:space="preserve"> introducing the solutions </w:t>
      </w:r>
      <w:r w:rsidR="005F6B64">
        <w:rPr>
          <w:rFonts w:eastAsia="Times New Roman" w:cs="Times New Roman"/>
        </w:rPr>
        <w:t>on</w:t>
      </w:r>
      <w:r w:rsidR="003508F0">
        <w:rPr>
          <w:rFonts w:eastAsia="Times New Roman" w:cs="Times New Roman"/>
        </w:rPr>
        <w:t>to</w:t>
      </w:r>
      <w:r w:rsidRPr="00A836B9">
        <w:rPr>
          <w:rFonts w:eastAsia="Times New Roman" w:cs="Times New Roman"/>
        </w:rPr>
        <w:t xml:space="preserve"> the market </w:t>
      </w:r>
      <w:r w:rsidRPr="00A836B9">
        <w:rPr>
          <w:rFonts w:eastAsia="Times New Roman" w:cs="Times New Roman"/>
          <w:iCs/>
        </w:rPr>
        <w:t>(e.g. contribut</w:t>
      </w:r>
      <w:r w:rsidR="00F31F5B" w:rsidRPr="00A836B9">
        <w:rPr>
          <w:rFonts w:eastAsia="Times New Roman" w:cs="Times New Roman"/>
          <w:iCs/>
        </w:rPr>
        <w:t>ing</w:t>
      </w:r>
      <w:r w:rsidRPr="00A836B9">
        <w:rPr>
          <w:rFonts w:eastAsia="Times New Roman" w:cs="Times New Roman"/>
          <w:iCs/>
        </w:rPr>
        <w:t xml:space="preserve"> to standardisation, regulation and certification)</w:t>
      </w:r>
      <w:r w:rsidRPr="00A836B9">
        <w:rPr>
          <w:rFonts w:eastAsia="Times New Roman" w:cs="Times New Roman"/>
        </w:rPr>
        <w:t xml:space="preserve">, awareness raising, experience sharing/training, </w:t>
      </w:r>
      <w:r w:rsidR="00F31F5B" w:rsidRPr="00A836B9">
        <w:rPr>
          <w:rFonts w:eastAsia="Times New Roman" w:cs="Times New Roman"/>
        </w:rPr>
        <w:t xml:space="preserve">and </w:t>
      </w:r>
      <w:r w:rsidRPr="00A836B9">
        <w:rPr>
          <w:rFonts w:eastAsia="Times New Roman" w:cs="Times New Roman"/>
        </w:rPr>
        <w:t xml:space="preserve">preparing further cooperation among stakeholders and procurers for future PCP or PPI. </w:t>
      </w:r>
    </w:p>
    <w:p w14:paraId="09A56A9E" w14:textId="2E487730" w:rsidR="00C60BD6" w:rsidRPr="00A836B9" w:rsidRDefault="00C60BD6" w:rsidP="490E705E">
      <w:pPr>
        <w:rPr>
          <w:rFonts w:eastAsia="Times New Roman" w:cs="Times New Roman"/>
        </w:rPr>
      </w:pPr>
      <w:r w:rsidRPr="00A836B9">
        <w:rPr>
          <w:rFonts w:eastAsia="Times New Roman" w:cs="Times New Roman"/>
        </w:rPr>
        <w:t>For PCP executed by a group of procurers, the buyers</w:t>
      </w:r>
      <w:r w:rsidR="00F31F5B" w:rsidRPr="00A836B9">
        <w:rPr>
          <w:rFonts w:eastAsia="Times New Roman" w:cs="Times New Roman"/>
        </w:rPr>
        <w:t>’</w:t>
      </w:r>
      <w:r w:rsidRPr="00A836B9">
        <w:rPr>
          <w:rFonts w:eastAsia="Times New Roman" w:cs="Times New Roman"/>
        </w:rPr>
        <w:t xml:space="preserve"> group</w:t>
      </w:r>
      <w:r w:rsidRPr="00A836B9" w:rsidDel="0012666E">
        <w:rPr>
          <w:rFonts w:eastAsia="Times New Roman" w:cs="Times New Roman"/>
        </w:rPr>
        <w:t xml:space="preserve"> </w:t>
      </w:r>
      <w:r w:rsidRPr="00A836B9">
        <w:rPr>
          <w:rFonts w:eastAsia="Times New Roman" w:cs="Times New Roman"/>
        </w:rPr>
        <w:t>must jointly prepar</w:t>
      </w:r>
      <w:r w:rsidR="00995B7F" w:rsidRPr="00A836B9">
        <w:rPr>
          <w:rFonts w:eastAsia="Times New Roman" w:cs="Times New Roman"/>
        </w:rPr>
        <w:t>e</w:t>
      </w:r>
      <w:r w:rsidRPr="00A836B9">
        <w:rPr>
          <w:rFonts w:eastAsia="Times New Roman" w:cs="Times New Roman"/>
        </w:rPr>
        <w:t xml:space="preserve"> and implement the pre-commercial procurement so that there is one joint call for tender, one joint evaluation of offers, and a lead procurer</w:t>
      </w:r>
      <w:r w:rsidRPr="00A836B9">
        <w:rPr>
          <w:rFonts w:eastAsia="Times New Roman" w:cs="Times New Roman"/>
          <w:vertAlign w:val="superscript"/>
        </w:rPr>
        <w:footnoteReference w:id="20"/>
      </w:r>
      <w:r w:rsidRPr="00A836B9">
        <w:rPr>
          <w:rFonts w:eastAsia="Times New Roman" w:cs="Times New Roman"/>
        </w:rPr>
        <w:t xml:space="preserve"> awarding the research and development (R&amp;D) service contracts in the name and on behalf of the buyers’ group. The PCP must address one concrete procurement need identified as a common challenge</w:t>
      </w:r>
      <w:r w:rsidRPr="00A836B9">
        <w:rPr>
          <w:rFonts w:eastAsia="Times New Roman" w:cs="Times New Roman"/>
          <w:vertAlign w:val="superscript"/>
        </w:rPr>
        <w:footnoteReference w:id="21"/>
      </w:r>
      <w:r w:rsidRPr="00A836B9">
        <w:rPr>
          <w:rFonts w:eastAsia="Times New Roman" w:cs="Times New Roman"/>
        </w:rPr>
        <w:t>, which requires new R&amp;D and is described in the common specifications of the joint PCP call for tender. Each procurer in the buyers</w:t>
      </w:r>
      <w:r w:rsidR="00995B7F" w:rsidRPr="00A836B9">
        <w:rPr>
          <w:rFonts w:eastAsia="Times New Roman" w:cs="Times New Roman"/>
        </w:rPr>
        <w:t>’</w:t>
      </w:r>
      <w:r w:rsidRPr="00A836B9">
        <w:rPr>
          <w:rFonts w:eastAsia="Times New Roman" w:cs="Times New Roman"/>
        </w:rPr>
        <w:t xml:space="preserve"> group must contribute financially to the total budget necessary to jointly finance the PCP, enabling the procurers to share the costs of procuring R&amp;D services from a number of providers and comparing the merits of the alternative solutions </w:t>
      </w:r>
      <w:r w:rsidR="00995B7F" w:rsidRPr="00A836B9">
        <w:rPr>
          <w:rFonts w:eastAsia="Times New Roman" w:cs="Times New Roman"/>
        </w:rPr>
        <w:t>pursued by</w:t>
      </w:r>
      <w:r w:rsidRPr="00A836B9">
        <w:rPr>
          <w:rFonts w:eastAsia="Times New Roman" w:cs="Times New Roman"/>
        </w:rPr>
        <w:t xml:space="preserve"> these competing providers to address the common challenge.</w:t>
      </w:r>
    </w:p>
    <w:p w14:paraId="29F7F72E" w14:textId="0AD8E26F" w:rsidR="00C60BD6" w:rsidRPr="00A836B9" w:rsidRDefault="00C60BD6" w:rsidP="490E705E">
      <w:pPr>
        <w:rPr>
          <w:rFonts w:eastAsia="Times New Roman" w:cs="Times New Roman"/>
        </w:rPr>
      </w:pPr>
      <w:r w:rsidRPr="00A836B9">
        <w:rPr>
          <w:rFonts w:eastAsia="Times New Roman" w:cs="Times New Roman"/>
        </w:rPr>
        <w:t>For PPI executed by a group of procurers, the lead procurer</w:t>
      </w:r>
      <w:r w:rsidRPr="00A836B9">
        <w:rPr>
          <w:rFonts w:eastAsia="Times New Roman" w:cs="Times New Roman"/>
          <w:vertAlign w:val="superscript"/>
        </w:rPr>
        <w:t xml:space="preserve"> </w:t>
      </w:r>
      <w:r w:rsidRPr="00A836B9">
        <w:rPr>
          <w:rFonts w:eastAsia="Times New Roman" w:cs="Times New Roman"/>
        </w:rPr>
        <w:t>must coordinate the preparation and implementation of one joint or several</w:t>
      </w:r>
      <w:r w:rsidR="00EF0889" w:rsidRPr="00A836B9">
        <w:rPr>
          <w:rFonts w:eastAsia="Times New Roman" w:cs="Times New Roman"/>
        </w:rPr>
        <w:t xml:space="preserve"> coordinated public procurement</w:t>
      </w:r>
      <w:r w:rsidR="006514A8" w:rsidRPr="00A836B9">
        <w:rPr>
          <w:rFonts w:eastAsia="Times New Roman" w:cs="Times New Roman"/>
        </w:rPr>
        <w:t>s</w:t>
      </w:r>
      <w:r w:rsidRPr="00A836B9">
        <w:rPr>
          <w:rFonts w:eastAsia="Times New Roman" w:cs="Times New Roman"/>
        </w:rPr>
        <w:t xml:space="preserve"> of innovative solutions, based on common specifications defined jointly by the buyers’ group. Each PPI must focus on one concrete need identified as a common challenge that requires the deployment of innovative solutions</w:t>
      </w:r>
      <w:r w:rsidRPr="00A836B9">
        <w:rPr>
          <w:rFonts w:eastAsia="Times New Roman" w:cs="Times New Roman"/>
          <w:vertAlign w:val="superscript"/>
        </w:rPr>
        <w:footnoteReference w:id="22"/>
      </w:r>
      <w:r w:rsidRPr="00A836B9">
        <w:rPr>
          <w:rFonts w:eastAsia="Times New Roman" w:cs="Times New Roman"/>
        </w:rPr>
        <w:t>.</w:t>
      </w:r>
    </w:p>
    <w:p w14:paraId="28D27A00" w14:textId="3D7374BF" w:rsidR="00C60BD6" w:rsidRPr="00A836B9" w:rsidRDefault="00C60BD6" w:rsidP="490E705E">
      <w:pPr>
        <w:spacing w:after="120"/>
        <w:rPr>
          <w:rFonts w:eastAsia="Times New Roman" w:cs="Times New Roman"/>
        </w:rPr>
      </w:pPr>
      <w:r w:rsidRPr="00A836B9">
        <w:rPr>
          <w:rFonts w:eastAsia="Times New Roman" w:cs="Times New Roman"/>
        </w:rPr>
        <w:t>Projects that aim to implement a PCP/PPI must contain a preparation and execution stage</w:t>
      </w:r>
      <w:r w:rsidR="00995B7F" w:rsidRPr="00A836B9">
        <w:rPr>
          <w:rFonts w:eastAsia="Times New Roman" w:cs="Times New Roman"/>
        </w:rPr>
        <w:t>.</w:t>
      </w:r>
    </w:p>
    <w:p w14:paraId="2D9F271F" w14:textId="77777777" w:rsidR="00C60BD6" w:rsidRPr="00A836B9" w:rsidRDefault="00C60BD6" w:rsidP="490E705E">
      <w:pPr>
        <w:spacing w:after="120"/>
        <w:rPr>
          <w:rFonts w:eastAsia="Times New Roman" w:cs="Times New Roman"/>
          <w:i/>
          <w:iCs/>
        </w:rPr>
      </w:pPr>
      <w:r w:rsidRPr="00A836B9">
        <w:rPr>
          <w:rFonts w:eastAsia="Times New Roman" w:cs="Times New Roman"/>
          <w:i/>
          <w:iCs/>
        </w:rPr>
        <w:t xml:space="preserve">Preparation stage </w:t>
      </w:r>
    </w:p>
    <w:p w14:paraId="4DAC90ED" w14:textId="758DC161" w:rsidR="00C60BD6" w:rsidRPr="00A836B9" w:rsidRDefault="00C60BD6" w:rsidP="490E705E">
      <w:pPr>
        <w:spacing w:after="120"/>
        <w:rPr>
          <w:rFonts w:cs="Times New Roman"/>
        </w:rPr>
      </w:pPr>
      <w:r w:rsidRPr="00A836B9">
        <w:rPr>
          <w:rFonts w:eastAsia="Times New Roman" w:cs="Times New Roman"/>
        </w:rPr>
        <w:t>The expected outcomes for the preparation stage, to be included as deliverables/milestones</w:t>
      </w:r>
      <w:r w:rsidR="00995B7F" w:rsidRPr="00A836B9">
        <w:rPr>
          <w:rFonts w:eastAsia="Times New Roman" w:cs="Times New Roman"/>
        </w:rPr>
        <w:t>,</w:t>
      </w:r>
      <w:r w:rsidRPr="00A836B9">
        <w:rPr>
          <w:rFonts w:eastAsia="Times New Roman" w:cs="Times New Roman"/>
        </w:rPr>
        <w:t xml:space="preserve"> are: </w:t>
      </w:r>
    </w:p>
    <w:p w14:paraId="2E87E1B4" w14:textId="1152949D" w:rsidR="0099732C" w:rsidRPr="00A836B9" w:rsidRDefault="006514A8" w:rsidP="0099732C">
      <w:pPr>
        <w:pStyle w:val="ListParagraph"/>
        <w:numPr>
          <w:ilvl w:val="0"/>
          <w:numId w:val="36"/>
        </w:numPr>
        <w:spacing w:after="120" w:line="240" w:lineRule="auto"/>
        <w:ind w:left="714" w:hanging="357"/>
        <w:contextualSpacing/>
        <w:rPr>
          <w:rFonts w:cs="Times New Roman"/>
        </w:rPr>
      </w:pPr>
      <w:r w:rsidRPr="00A836B9">
        <w:rPr>
          <w:rFonts w:cs="Times New Roman"/>
        </w:rPr>
        <w:t>a</w:t>
      </w:r>
      <w:r w:rsidR="00C60BD6" w:rsidRPr="00A836B9">
        <w:rPr>
          <w:rFonts w:cs="Times New Roman"/>
        </w:rPr>
        <w:t xml:space="preserve"> prior information notice for the open market consultation: 5 days before submission for publication to </w:t>
      </w:r>
      <w:r w:rsidRPr="00A836B9">
        <w:rPr>
          <w:rFonts w:cs="Times New Roman"/>
        </w:rPr>
        <w:t xml:space="preserve">the </w:t>
      </w:r>
      <w:r w:rsidR="00C60BD6" w:rsidRPr="00A836B9">
        <w:rPr>
          <w:rFonts w:cs="Times New Roman"/>
        </w:rPr>
        <w:t xml:space="preserve">OJEU, i.e. </w:t>
      </w:r>
      <w:r w:rsidRPr="00A836B9">
        <w:rPr>
          <w:rFonts w:cs="Times New Roman"/>
        </w:rPr>
        <w:t xml:space="preserve">a </w:t>
      </w:r>
      <w:r w:rsidR="00C60BD6" w:rsidRPr="00A836B9">
        <w:rPr>
          <w:rFonts w:cs="Times New Roman"/>
        </w:rPr>
        <w:t xml:space="preserve">minimum </w:t>
      </w:r>
      <w:r w:rsidRPr="00A836B9">
        <w:rPr>
          <w:rFonts w:cs="Times New Roman"/>
        </w:rPr>
        <w:t xml:space="preserve">of </w:t>
      </w:r>
      <w:r w:rsidR="00C60BD6" w:rsidRPr="00A836B9">
        <w:rPr>
          <w:rFonts w:cs="Times New Roman"/>
        </w:rPr>
        <w:t>50 days before the start of the first meeting</w:t>
      </w:r>
      <w:r w:rsidR="00995B7F" w:rsidRPr="00A836B9">
        <w:rPr>
          <w:rFonts w:cs="Times New Roman"/>
        </w:rPr>
        <w:t>;</w:t>
      </w:r>
    </w:p>
    <w:p w14:paraId="7AF65206" w14:textId="3C08419E" w:rsidR="00C60BD6" w:rsidRPr="00A836B9" w:rsidRDefault="00C60BD6" w:rsidP="0099732C">
      <w:pPr>
        <w:pStyle w:val="ListParagraph"/>
        <w:numPr>
          <w:ilvl w:val="0"/>
          <w:numId w:val="36"/>
        </w:numPr>
        <w:spacing w:after="120" w:line="240" w:lineRule="auto"/>
        <w:ind w:left="714" w:hanging="357"/>
        <w:contextualSpacing/>
        <w:rPr>
          <w:rFonts w:cs="Times New Roman"/>
        </w:rPr>
      </w:pPr>
      <w:r w:rsidRPr="00A836B9">
        <w:rPr>
          <w:rFonts w:eastAsia="Times New Roman" w:cs="Times New Roman"/>
        </w:rPr>
        <w:t xml:space="preserve">a report on the result of the open market consultation, prior </w:t>
      </w:r>
      <w:r w:rsidR="009526CC">
        <w:rPr>
          <w:rFonts w:eastAsia="Times New Roman" w:cs="Times New Roman"/>
        </w:rPr>
        <w:t>m</w:t>
      </w:r>
      <w:r w:rsidRPr="00A836B9">
        <w:rPr>
          <w:rFonts w:eastAsia="Times New Roman" w:cs="Times New Roman"/>
        </w:rPr>
        <w:t>ar</w:t>
      </w:r>
      <w:r w:rsidR="009526CC">
        <w:rPr>
          <w:rFonts w:eastAsia="Times New Roman" w:cs="Times New Roman"/>
        </w:rPr>
        <w:t>ke</w:t>
      </w:r>
      <w:r w:rsidRPr="00A836B9">
        <w:rPr>
          <w:rFonts w:eastAsia="Times New Roman" w:cs="Times New Roman"/>
        </w:rPr>
        <w:t>t analysis and its impact on the tender documents</w:t>
      </w:r>
      <w:r w:rsidR="001E611A">
        <w:rPr>
          <w:rFonts w:eastAsia="Times New Roman" w:cs="Times New Roman"/>
        </w:rPr>
        <w:t>;</w:t>
      </w:r>
      <w:r w:rsidRPr="00A836B9">
        <w:rPr>
          <w:rFonts w:eastAsia="Times New Roman" w:cs="Times New Roman"/>
        </w:rPr>
        <w:t xml:space="preserve"> </w:t>
      </w:r>
      <w:r w:rsidR="001E611A">
        <w:rPr>
          <w:rFonts w:eastAsia="Times New Roman" w:cs="Times New Roman"/>
        </w:rPr>
        <w:t>in addition, f</w:t>
      </w:r>
      <w:r w:rsidRPr="00A836B9">
        <w:rPr>
          <w:rFonts w:eastAsia="Times New Roman" w:cs="Times New Roman"/>
        </w:rPr>
        <w:t xml:space="preserve">or PPI, feedback from activities to verify market readiness </w:t>
      </w:r>
      <w:r w:rsidR="001E611A">
        <w:rPr>
          <w:rFonts w:eastAsia="Times New Roman" w:cs="Times New Roman"/>
        </w:rPr>
        <w:t>before</w:t>
      </w:r>
      <w:r w:rsidRPr="00A836B9">
        <w:rPr>
          <w:rFonts w:eastAsia="Times New Roman" w:cs="Times New Roman"/>
        </w:rPr>
        <w:t xml:space="preserve"> deployment </w:t>
      </w:r>
      <w:r w:rsidRPr="00A836B9">
        <w:rPr>
          <w:rFonts w:eastAsia="Times New Roman" w:cs="Times New Roman"/>
          <w:iCs/>
        </w:rPr>
        <w:t>(e.g. conformance testing, certification, quality labelling)</w:t>
      </w:r>
      <w:r w:rsidR="00995B7F" w:rsidRPr="00A836B9">
        <w:rPr>
          <w:rFonts w:eastAsia="Times New Roman" w:cs="Times New Roman"/>
          <w:iCs/>
        </w:rPr>
        <w:t>;</w:t>
      </w:r>
      <w:r w:rsidRPr="00A836B9">
        <w:rPr>
          <w:rFonts w:eastAsia="Times New Roman" w:cs="Times New Roman"/>
          <w:iCs/>
        </w:rPr>
        <w:t xml:space="preserve"> </w:t>
      </w:r>
    </w:p>
    <w:p w14:paraId="68C3D798" w14:textId="1CD33741" w:rsidR="0099732C" w:rsidRPr="00A836B9" w:rsidRDefault="00C60BD6" w:rsidP="0099732C">
      <w:pPr>
        <w:pStyle w:val="ListParagraph"/>
        <w:numPr>
          <w:ilvl w:val="0"/>
          <w:numId w:val="36"/>
        </w:numPr>
        <w:spacing w:after="120" w:line="240" w:lineRule="auto"/>
        <w:ind w:left="714" w:hanging="357"/>
        <w:contextualSpacing/>
        <w:rPr>
          <w:rFonts w:eastAsia="Times New Roman" w:cs="Times New Roman"/>
        </w:rPr>
      </w:pPr>
      <w:r w:rsidRPr="00A836B9">
        <w:rPr>
          <w:rFonts w:eastAsia="Times New Roman" w:cs="Times New Roman"/>
        </w:rPr>
        <w:t>completed tender documents based on the Horizon Europe PCP/PPI model contract documents, including the contract notice: 30 days before its submission to the OJEU</w:t>
      </w:r>
      <w:r w:rsidR="00995B7F" w:rsidRPr="00A836B9">
        <w:rPr>
          <w:rFonts w:eastAsia="Times New Roman" w:cs="Times New Roman"/>
        </w:rPr>
        <w:t>;</w:t>
      </w:r>
      <w:r w:rsidRPr="00A836B9">
        <w:rPr>
          <w:rFonts w:eastAsia="Times New Roman" w:cs="Times New Roman"/>
        </w:rPr>
        <w:t xml:space="preserve"> </w:t>
      </w:r>
    </w:p>
    <w:p w14:paraId="0FE3D7E4" w14:textId="23CA0D76" w:rsidR="00C60BD6" w:rsidRPr="00A836B9" w:rsidRDefault="00C60BD6" w:rsidP="0099732C">
      <w:pPr>
        <w:pStyle w:val="ListParagraph"/>
        <w:numPr>
          <w:ilvl w:val="0"/>
          <w:numId w:val="36"/>
        </w:numPr>
        <w:spacing w:after="120" w:line="240" w:lineRule="auto"/>
        <w:ind w:left="714" w:hanging="357"/>
        <w:contextualSpacing/>
        <w:rPr>
          <w:rFonts w:eastAsia="Times New Roman" w:cs="Times New Roman"/>
        </w:rPr>
      </w:pPr>
      <w:r w:rsidRPr="00A836B9">
        <w:rPr>
          <w:rFonts w:eastAsia="Times New Roman" w:cs="Times New Roman"/>
        </w:rPr>
        <w:t xml:space="preserve">for PCP/PPI executed by a group of procurers: the signed joint procurement agreement confirming the final </w:t>
      </w:r>
      <w:r w:rsidR="006514A8" w:rsidRPr="00A836B9">
        <w:rPr>
          <w:rFonts w:eastAsia="Times New Roman" w:cs="Times New Roman"/>
        </w:rPr>
        <w:t>means of cooperation</w:t>
      </w:r>
      <w:r w:rsidRPr="00A836B9">
        <w:rPr>
          <w:rFonts w:eastAsia="Times New Roman" w:cs="Times New Roman"/>
        </w:rPr>
        <w:t>, including the financial commitment of the buyers</w:t>
      </w:r>
      <w:r w:rsidR="00F31F5B" w:rsidRPr="00A836B9">
        <w:rPr>
          <w:rFonts w:eastAsia="Times New Roman" w:cs="Times New Roman"/>
        </w:rPr>
        <w:t>’</w:t>
      </w:r>
      <w:r w:rsidRPr="00A836B9">
        <w:rPr>
          <w:rFonts w:eastAsia="Times New Roman" w:cs="Times New Roman"/>
        </w:rPr>
        <w:t xml:space="preserve"> group for the PCP/PPI, and final confirmation of the lead procurer.</w:t>
      </w:r>
      <w:r w:rsidR="008C170F" w:rsidRPr="00A836B9">
        <w:rPr>
          <w:rFonts w:eastAsia="Times New Roman" w:cs="Times New Roman"/>
        </w:rPr>
        <w:t xml:space="preserve"> </w:t>
      </w:r>
    </w:p>
    <w:p w14:paraId="32DE0046" w14:textId="77777777" w:rsidR="00C60BD6" w:rsidRPr="00A836B9" w:rsidRDefault="00C60BD6" w:rsidP="490E705E">
      <w:pPr>
        <w:spacing w:after="120"/>
        <w:rPr>
          <w:rFonts w:eastAsia="Times New Roman" w:cs="Times New Roman"/>
          <w:i/>
          <w:iCs/>
        </w:rPr>
      </w:pPr>
      <w:r w:rsidRPr="00A836B9">
        <w:rPr>
          <w:rFonts w:eastAsia="Times New Roman" w:cs="Times New Roman"/>
          <w:i/>
          <w:iCs/>
        </w:rPr>
        <w:t xml:space="preserve">Execution stage </w:t>
      </w:r>
    </w:p>
    <w:p w14:paraId="09BD4AFC" w14:textId="2CC84EAC" w:rsidR="00C60BD6" w:rsidRPr="00A836B9" w:rsidRDefault="00C60BD6" w:rsidP="490E705E">
      <w:pPr>
        <w:spacing w:after="120"/>
        <w:rPr>
          <w:rFonts w:eastAsia="Times New Roman" w:cs="Times New Roman"/>
        </w:rPr>
      </w:pPr>
      <w:r w:rsidRPr="00A836B9">
        <w:rPr>
          <w:rFonts w:eastAsia="Times New Roman" w:cs="Times New Roman"/>
        </w:rPr>
        <w:t xml:space="preserve">The expected outcome of the execution stage </w:t>
      </w:r>
      <w:r w:rsidR="00995B7F" w:rsidRPr="00A836B9">
        <w:rPr>
          <w:rFonts w:eastAsia="Times New Roman" w:cs="Times New Roman"/>
        </w:rPr>
        <w:t>is</w:t>
      </w:r>
      <w:r w:rsidRPr="00A836B9">
        <w:rPr>
          <w:rFonts w:eastAsia="Times New Roman" w:cs="Times New Roman"/>
        </w:rPr>
        <w:t xml:space="preserve"> the implementation of the procurement procedure and of the PCP/PPI contracts. For PCP, this includes validat</w:t>
      </w:r>
      <w:r w:rsidR="00995B7F" w:rsidRPr="00A836B9">
        <w:rPr>
          <w:rFonts w:eastAsia="Times New Roman" w:cs="Times New Roman"/>
        </w:rPr>
        <w:t>ing</w:t>
      </w:r>
      <w:r w:rsidRPr="00A836B9">
        <w:rPr>
          <w:rFonts w:eastAsia="Times New Roman" w:cs="Times New Roman"/>
        </w:rPr>
        <w:t xml:space="preserve"> and compar</w:t>
      </w:r>
      <w:r w:rsidR="00995B7F" w:rsidRPr="00A836B9">
        <w:rPr>
          <w:rFonts w:eastAsia="Times New Roman" w:cs="Times New Roman"/>
        </w:rPr>
        <w:t>ing</w:t>
      </w:r>
      <w:r w:rsidRPr="00A836B9">
        <w:rPr>
          <w:rFonts w:eastAsia="Times New Roman" w:cs="Times New Roman"/>
        </w:rPr>
        <w:t xml:space="preserve"> the performance of the competing PCP solutions to verify </w:t>
      </w:r>
      <w:r w:rsidR="00995B7F" w:rsidRPr="00A836B9">
        <w:rPr>
          <w:rFonts w:eastAsia="Times New Roman" w:cs="Times New Roman"/>
        </w:rPr>
        <w:t>if they can be</w:t>
      </w:r>
      <w:r w:rsidRPr="00A836B9">
        <w:rPr>
          <w:rFonts w:eastAsia="Times New Roman" w:cs="Times New Roman"/>
        </w:rPr>
        <w:t xml:space="preserve"> convert</w:t>
      </w:r>
      <w:r w:rsidR="00995B7F" w:rsidRPr="00A836B9">
        <w:rPr>
          <w:rFonts w:eastAsia="Times New Roman" w:cs="Times New Roman"/>
        </w:rPr>
        <w:t>ed</w:t>
      </w:r>
      <w:r w:rsidRPr="00A836B9">
        <w:rPr>
          <w:rFonts w:eastAsia="Times New Roman" w:cs="Times New Roman"/>
        </w:rPr>
        <w:t xml:space="preserve"> into permanent service. For PPI, this includes deploy</w:t>
      </w:r>
      <w:r w:rsidR="00DA00B9" w:rsidRPr="00A836B9">
        <w:rPr>
          <w:rFonts w:eastAsia="Times New Roman" w:cs="Times New Roman"/>
        </w:rPr>
        <w:t>ing</w:t>
      </w:r>
      <w:r w:rsidRPr="00A836B9">
        <w:rPr>
          <w:rFonts w:eastAsia="Times New Roman" w:cs="Times New Roman"/>
        </w:rPr>
        <w:t xml:space="preserve"> the innovative solutions and evaluat</w:t>
      </w:r>
      <w:r w:rsidR="00DA00B9" w:rsidRPr="00A836B9">
        <w:rPr>
          <w:rFonts w:eastAsia="Times New Roman" w:cs="Times New Roman"/>
        </w:rPr>
        <w:t>ing</w:t>
      </w:r>
      <w:r w:rsidRPr="00A836B9">
        <w:rPr>
          <w:rFonts w:eastAsia="Times New Roman" w:cs="Times New Roman"/>
        </w:rPr>
        <w:t xml:space="preserve"> </w:t>
      </w:r>
      <w:r w:rsidR="00DA00B9" w:rsidRPr="00A836B9">
        <w:rPr>
          <w:rFonts w:eastAsia="Times New Roman" w:cs="Times New Roman"/>
        </w:rPr>
        <w:t xml:space="preserve">the </w:t>
      </w:r>
      <w:r w:rsidRPr="00A836B9">
        <w:rPr>
          <w:rFonts w:eastAsia="Times New Roman" w:cs="Times New Roman"/>
        </w:rPr>
        <w:t>results in real-life operating conditions</w:t>
      </w:r>
      <w:r w:rsidR="006514A8" w:rsidRPr="00A836B9">
        <w:rPr>
          <w:rFonts w:eastAsia="Times New Roman" w:cs="Times New Roman"/>
        </w:rPr>
        <w:t>,</w:t>
      </w:r>
      <w:r w:rsidRPr="00A836B9">
        <w:rPr>
          <w:rFonts w:eastAsia="Times New Roman" w:cs="Times New Roman"/>
        </w:rPr>
        <w:t xml:space="preserve"> with a duration that allows for appropriate evaluation of the </w:t>
      </w:r>
      <w:r w:rsidR="006514A8" w:rsidRPr="00A836B9">
        <w:rPr>
          <w:rFonts w:eastAsia="Times New Roman" w:cs="Times New Roman"/>
        </w:rPr>
        <w:t xml:space="preserve">potential </w:t>
      </w:r>
      <w:r w:rsidRPr="00A836B9">
        <w:rPr>
          <w:rFonts w:eastAsia="Times New Roman" w:cs="Times New Roman"/>
        </w:rPr>
        <w:t>impact of the</w:t>
      </w:r>
      <w:r w:rsidR="006514A8" w:rsidRPr="00A836B9">
        <w:rPr>
          <w:rFonts w:eastAsia="Times New Roman" w:cs="Times New Roman"/>
        </w:rPr>
        <w:t>se</w:t>
      </w:r>
      <w:r w:rsidRPr="00A836B9">
        <w:rPr>
          <w:rFonts w:eastAsia="Times New Roman" w:cs="Times New Roman"/>
        </w:rPr>
        <w:t xml:space="preserve"> solutions </w:t>
      </w:r>
      <w:r w:rsidR="006514A8" w:rsidRPr="00A836B9">
        <w:rPr>
          <w:rFonts w:eastAsia="Times New Roman" w:cs="Times New Roman"/>
        </w:rPr>
        <w:t>if</w:t>
      </w:r>
      <w:r w:rsidRPr="00A836B9">
        <w:rPr>
          <w:rFonts w:eastAsia="Times New Roman" w:cs="Times New Roman"/>
        </w:rPr>
        <w:t xml:space="preserve"> conver</w:t>
      </w:r>
      <w:r w:rsidR="006514A8" w:rsidRPr="00A836B9">
        <w:rPr>
          <w:rFonts w:eastAsia="Times New Roman" w:cs="Times New Roman"/>
        </w:rPr>
        <w:t>ted</w:t>
      </w:r>
      <w:r w:rsidRPr="00A836B9">
        <w:rPr>
          <w:rFonts w:eastAsia="Times New Roman" w:cs="Times New Roman"/>
        </w:rPr>
        <w:t xml:space="preserve"> into permanent service.</w:t>
      </w:r>
    </w:p>
    <w:p w14:paraId="3DF258F3" w14:textId="77777777" w:rsidR="00C60BD6" w:rsidRPr="00A836B9" w:rsidRDefault="00C60BD6" w:rsidP="490E705E">
      <w:pPr>
        <w:spacing w:after="120"/>
        <w:rPr>
          <w:rFonts w:cs="Times New Roman"/>
        </w:rPr>
      </w:pPr>
      <w:r w:rsidRPr="00A836B9">
        <w:rPr>
          <w:rFonts w:cs="Times New Roman"/>
        </w:rPr>
        <w:t>Deliverables/milestones to be included in the description of work for the execution stage are:</w:t>
      </w:r>
    </w:p>
    <w:p w14:paraId="154B2CFC" w14:textId="1E4FFC15" w:rsidR="00C60BD6" w:rsidRPr="00A836B9" w:rsidRDefault="00C60BD6" w:rsidP="490E705E">
      <w:pPr>
        <w:numPr>
          <w:ilvl w:val="0"/>
          <w:numId w:val="30"/>
        </w:numPr>
        <w:spacing w:after="120" w:line="240" w:lineRule="auto"/>
        <w:ind w:left="568" w:hanging="284"/>
        <w:rPr>
          <w:rFonts w:cs="Times New Roman"/>
        </w:rPr>
      </w:pPr>
      <w:r w:rsidRPr="00A836B9">
        <w:rPr>
          <w:rFonts w:cs="Times New Roman"/>
        </w:rPr>
        <w:t>a copy of the contract award notice published in TED: 48 days after the award of contracts</w:t>
      </w:r>
      <w:r w:rsidR="00DA00B9" w:rsidRPr="00A836B9">
        <w:rPr>
          <w:rFonts w:cs="Times New Roman"/>
        </w:rPr>
        <w:t>;</w:t>
      </w:r>
    </w:p>
    <w:p w14:paraId="000976B3" w14:textId="1B7EF9B3" w:rsidR="00C60BD6" w:rsidRPr="00A836B9" w:rsidRDefault="00C60BD6" w:rsidP="490E705E">
      <w:pPr>
        <w:numPr>
          <w:ilvl w:val="0"/>
          <w:numId w:val="30"/>
        </w:numPr>
        <w:spacing w:after="120" w:line="240" w:lineRule="auto"/>
        <w:ind w:left="568" w:hanging="284"/>
        <w:rPr>
          <w:rFonts w:cs="Times New Roman"/>
        </w:rPr>
      </w:pPr>
      <w:r w:rsidRPr="00A836B9">
        <w:rPr>
          <w:rFonts w:cs="Times New Roman"/>
        </w:rPr>
        <w:t>at the end of the tender evaluation (for PCP</w:t>
      </w:r>
      <w:r w:rsidR="006514A8" w:rsidRPr="00A836B9">
        <w:rPr>
          <w:rFonts w:cs="Times New Roman"/>
        </w:rPr>
        <w:t>,</w:t>
      </w:r>
      <w:r w:rsidRPr="00A836B9">
        <w:rPr>
          <w:rFonts w:cs="Times New Roman"/>
        </w:rPr>
        <w:t xml:space="preserve"> also after the evaluations </w:t>
      </w:r>
      <w:r w:rsidR="006514A8" w:rsidRPr="00A836B9">
        <w:rPr>
          <w:rFonts w:cs="Times New Roman"/>
        </w:rPr>
        <w:t>of each</w:t>
      </w:r>
      <w:r w:rsidRPr="00A836B9">
        <w:rPr>
          <w:rFonts w:cs="Times New Roman"/>
        </w:rPr>
        <w:t xml:space="preserve"> phase):</w:t>
      </w:r>
      <w:r w:rsidR="008C170F" w:rsidRPr="00A836B9">
        <w:rPr>
          <w:rFonts w:cs="Times New Roman"/>
        </w:rPr>
        <w:t xml:space="preserve"> </w:t>
      </w:r>
    </w:p>
    <w:p w14:paraId="061B5885" w14:textId="713DFA00" w:rsidR="00C60BD6" w:rsidRPr="00A836B9" w:rsidRDefault="00C60BD6" w:rsidP="490E705E">
      <w:pPr>
        <w:numPr>
          <w:ilvl w:val="0"/>
          <w:numId w:val="30"/>
        </w:numPr>
        <w:spacing w:after="120" w:line="240" w:lineRule="auto"/>
        <w:ind w:left="1134" w:hanging="284"/>
        <w:rPr>
          <w:rFonts w:cs="Times New Roman"/>
        </w:rPr>
      </w:pPr>
      <w:r w:rsidRPr="00A836B9">
        <w:rPr>
          <w:rFonts w:cs="Times New Roman"/>
        </w:rPr>
        <w:t>information on the total number of bids received, particular</w:t>
      </w:r>
      <w:r w:rsidR="00AE2525" w:rsidRPr="00A836B9">
        <w:rPr>
          <w:rFonts w:cs="Times New Roman"/>
        </w:rPr>
        <w:t>ly</w:t>
      </w:r>
      <w:r w:rsidRPr="00A836B9">
        <w:rPr>
          <w:rFonts w:cs="Times New Roman"/>
        </w:rPr>
        <w:t xml:space="preserve"> the data on the winning tenderer(s) and abstracts of the winning tenders for publication and evaluation purposes</w:t>
      </w:r>
      <w:r w:rsidR="00DA00B9" w:rsidRPr="00A836B9">
        <w:rPr>
          <w:rFonts w:cs="Times New Roman"/>
        </w:rPr>
        <w:t>;</w:t>
      </w:r>
      <w:r w:rsidRPr="00A836B9">
        <w:rPr>
          <w:rFonts w:cs="Times New Roman"/>
        </w:rPr>
        <w:t xml:space="preserve"> </w:t>
      </w:r>
    </w:p>
    <w:p w14:paraId="621F8F3A" w14:textId="71ACD81E" w:rsidR="00C60BD6" w:rsidRPr="00A836B9" w:rsidRDefault="00C60BD6" w:rsidP="490E705E">
      <w:pPr>
        <w:numPr>
          <w:ilvl w:val="0"/>
          <w:numId w:val="30"/>
        </w:numPr>
        <w:spacing w:after="120" w:line="240" w:lineRule="auto"/>
        <w:ind w:left="1134" w:hanging="284"/>
        <w:rPr>
          <w:rFonts w:cs="Times New Roman"/>
        </w:rPr>
      </w:pPr>
      <w:r w:rsidRPr="00A836B9">
        <w:rPr>
          <w:rFonts w:cs="Times New Roman"/>
        </w:rPr>
        <w:t xml:space="preserve">final ranking list of the selected projects, final scores and qualitative assessment per criterion for each </w:t>
      </w:r>
      <w:r w:rsidR="00DA00B9" w:rsidRPr="00A836B9">
        <w:rPr>
          <w:rFonts w:cs="Times New Roman"/>
        </w:rPr>
        <w:t xml:space="preserve">bid </w:t>
      </w:r>
      <w:r w:rsidRPr="00A836B9">
        <w:rPr>
          <w:rFonts w:cs="Times New Roman"/>
        </w:rPr>
        <w:t xml:space="preserve">received, </w:t>
      </w:r>
      <w:r w:rsidR="00DA00B9" w:rsidRPr="00A836B9">
        <w:rPr>
          <w:rFonts w:cs="Times New Roman"/>
        </w:rPr>
        <w:t xml:space="preserve">along with </w:t>
      </w:r>
      <w:r w:rsidRPr="00A836B9">
        <w:rPr>
          <w:rFonts w:cs="Times New Roman"/>
        </w:rPr>
        <w:t>minutes of the evaluation meeting</w:t>
      </w:r>
      <w:r w:rsidR="00DA00B9" w:rsidRPr="00A836B9">
        <w:rPr>
          <w:rFonts w:cs="Times New Roman"/>
        </w:rPr>
        <w:t>;</w:t>
      </w:r>
    </w:p>
    <w:p w14:paraId="6FC6924E" w14:textId="0EEBFC80" w:rsidR="00C60BD6" w:rsidRPr="00A836B9" w:rsidRDefault="00C60BD6" w:rsidP="490E705E">
      <w:pPr>
        <w:numPr>
          <w:ilvl w:val="0"/>
          <w:numId w:val="30"/>
        </w:numPr>
        <w:spacing w:after="120" w:line="240" w:lineRule="auto"/>
        <w:ind w:left="1134" w:hanging="284"/>
        <w:rPr>
          <w:rFonts w:cs="Times New Roman"/>
        </w:rPr>
      </w:pPr>
      <w:r w:rsidRPr="00A836B9">
        <w:rPr>
          <w:rFonts w:cs="Times New Roman"/>
        </w:rPr>
        <w:t>for PCP: assess</w:t>
      </w:r>
      <w:r w:rsidR="00DA00B9" w:rsidRPr="00A836B9">
        <w:rPr>
          <w:rFonts w:cs="Times New Roman"/>
        </w:rPr>
        <w:t>ing</w:t>
      </w:r>
      <w:r w:rsidRPr="00A836B9">
        <w:rPr>
          <w:rFonts w:cs="Times New Roman"/>
        </w:rPr>
        <w:t xml:space="preserve"> the results achieved by each tenderer in the previous phase</w:t>
      </w:r>
      <w:r w:rsidR="00DA00B9" w:rsidRPr="00A836B9">
        <w:rPr>
          <w:rFonts w:cs="Times New Roman"/>
        </w:rPr>
        <w:t>;</w:t>
      </w:r>
    </w:p>
    <w:p w14:paraId="2FE7BA17" w14:textId="6077B399" w:rsidR="00C60BD6" w:rsidRPr="00A836B9" w:rsidRDefault="00C60BD6" w:rsidP="490E705E">
      <w:pPr>
        <w:numPr>
          <w:ilvl w:val="0"/>
          <w:numId w:val="30"/>
        </w:numPr>
        <w:spacing w:after="120" w:line="240" w:lineRule="auto"/>
        <w:ind w:left="568" w:hanging="284"/>
        <w:rPr>
          <w:rFonts w:cs="Times New Roman"/>
        </w:rPr>
      </w:pPr>
      <w:r w:rsidRPr="00A836B9">
        <w:rPr>
          <w:rFonts w:cs="Times New Roman"/>
        </w:rPr>
        <w:t>at the end of the action, give a demonstration to the granting authority</w:t>
      </w:r>
      <w:r w:rsidR="00DA00B9" w:rsidRPr="00A836B9">
        <w:rPr>
          <w:rFonts w:cs="Times New Roman"/>
        </w:rPr>
        <w:t>:</w:t>
      </w:r>
    </w:p>
    <w:p w14:paraId="67DAD2A7" w14:textId="55D42955" w:rsidR="00C60BD6" w:rsidRPr="00A836B9" w:rsidRDefault="00C60BD6" w:rsidP="490E705E">
      <w:pPr>
        <w:numPr>
          <w:ilvl w:val="0"/>
          <w:numId w:val="30"/>
        </w:numPr>
        <w:spacing w:after="120" w:line="240" w:lineRule="auto"/>
        <w:ind w:left="1134" w:hanging="284"/>
        <w:rPr>
          <w:rFonts w:cs="Times New Roman"/>
        </w:rPr>
      </w:pPr>
      <w:r w:rsidRPr="00A836B9">
        <w:rPr>
          <w:rFonts w:cs="Times New Roman"/>
        </w:rPr>
        <w:t>for PCP: of the tested solutions resulting from the PCP</w:t>
      </w:r>
      <w:r w:rsidR="00DA00B9" w:rsidRPr="00A836B9">
        <w:rPr>
          <w:rFonts w:cs="Times New Roman"/>
        </w:rPr>
        <w:t>;</w:t>
      </w:r>
      <w:r w:rsidRPr="00A836B9">
        <w:rPr>
          <w:rFonts w:cs="Times New Roman"/>
        </w:rPr>
        <w:t xml:space="preserve"> </w:t>
      </w:r>
    </w:p>
    <w:p w14:paraId="50D049C0" w14:textId="70DC28EF" w:rsidR="00C60BD6" w:rsidRPr="00A836B9" w:rsidRDefault="00C60BD6" w:rsidP="490E705E">
      <w:pPr>
        <w:numPr>
          <w:ilvl w:val="0"/>
          <w:numId w:val="30"/>
        </w:numPr>
        <w:spacing w:after="120" w:line="240" w:lineRule="auto"/>
        <w:ind w:left="1134" w:hanging="284"/>
        <w:rPr>
          <w:rFonts w:cs="Times New Roman"/>
        </w:rPr>
      </w:pPr>
      <w:r w:rsidRPr="00A836B9">
        <w:rPr>
          <w:rFonts w:cs="Times New Roman"/>
        </w:rPr>
        <w:t>for PPI: of the deployed innovative solution(s)</w:t>
      </w:r>
      <w:r w:rsidR="00DA00B9" w:rsidRPr="00A836B9">
        <w:rPr>
          <w:rFonts w:cs="Times New Roman"/>
        </w:rPr>
        <w:t>.</w:t>
      </w:r>
    </w:p>
    <w:p w14:paraId="61AA38F8" w14:textId="0E4268E2" w:rsidR="00C60BD6" w:rsidRPr="00A836B9" w:rsidRDefault="00C60BD6" w:rsidP="490E705E">
      <w:pPr>
        <w:spacing w:after="120"/>
        <w:rPr>
          <w:rFonts w:eastAsia="Times New Roman" w:cs="Times New Roman"/>
        </w:rPr>
      </w:pPr>
      <w:r w:rsidRPr="00A836B9">
        <w:rPr>
          <w:rFonts w:eastAsia="Times New Roman" w:cs="Times New Roman"/>
        </w:rPr>
        <w:t xml:space="preserve">Where the WTO Government Procurement Agreement (GPA) does not apply, participation in tendering procedures must be open on equal terms to bidders from EU Member States and all countries with which the EU has an agreement in the field of public procurement under the conditions laid down in that agreement, including all Horizon Europe Associated Countries. Where the WTO GPA applies, tendering procedures must also </w:t>
      </w:r>
      <w:r w:rsidR="004D4CB7" w:rsidRPr="00A836B9">
        <w:rPr>
          <w:rFonts w:eastAsia="Times New Roman" w:cs="Times New Roman"/>
        </w:rPr>
        <w:t xml:space="preserve">be </w:t>
      </w:r>
      <w:r w:rsidRPr="00A836B9">
        <w:rPr>
          <w:rFonts w:eastAsia="Times New Roman" w:cs="Times New Roman"/>
        </w:rPr>
        <w:t xml:space="preserve">open to bidders from states that have ratified this agreement, under the conditions laid down therein. </w:t>
      </w:r>
    </w:p>
    <w:p w14:paraId="5A586359" w14:textId="38005799" w:rsidR="00C60BD6" w:rsidRPr="00A836B9" w:rsidRDefault="00C60BD6" w:rsidP="490E705E">
      <w:pPr>
        <w:spacing w:after="120"/>
        <w:rPr>
          <w:rFonts w:eastAsia="Times New Roman" w:cs="Times New Roman"/>
        </w:rPr>
      </w:pPr>
      <w:r w:rsidRPr="00A836B9">
        <w:rPr>
          <w:rFonts w:eastAsia="Times New Roman" w:cs="Times New Roman"/>
        </w:rPr>
        <w:t xml:space="preserve">If the specific </w:t>
      </w:r>
      <w:r w:rsidR="0099732C" w:rsidRPr="00A836B9">
        <w:rPr>
          <w:rFonts w:eastAsia="Times New Roman" w:cs="Times New Roman"/>
        </w:rPr>
        <w:t>call conditions</w:t>
      </w:r>
      <w:r w:rsidRPr="00A836B9">
        <w:rPr>
          <w:rFonts w:eastAsia="Times New Roman" w:cs="Times New Roman"/>
        </w:rPr>
        <w:t xml:space="preserve"> restrict parti</w:t>
      </w:r>
      <w:r w:rsidR="0099732C" w:rsidRPr="00A836B9">
        <w:rPr>
          <w:rFonts w:eastAsia="Times New Roman" w:cs="Times New Roman"/>
        </w:rPr>
        <w:t>ci</w:t>
      </w:r>
      <w:r w:rsidRPr="00A836B9">
        <w:rPr>
          <w:rFonts w:eastAsia="Times New Roman" w:cs="Times New Roman"/>
        </w:rPr>
        <w:t xml:space="preserve">pation or control </w:t>
      </w:r>
      <w:r w:rsidR="004D4CB7" w:rsidRPr="00A836B9">
        <w:rPr>
          <w:rFonts w:eastAsia="Times New Roman" w:cs="Times New Roman"/>
        </w:rPr>
        <w:t>for</w:t>
      </w:r>
      <w:r w:rsidRPr="00A836B9">
        <w:rPr>
          <w:rFonts w:eastAsia="Times New Roman" w:cs="Times New Roman"/>
        </w:rPr>
        <w:t xml:space="preserve"> security reasons, participation in the PCP/PPI procedure must also be limited to bidders meeting this restriction. If the specific conditions for the topic impose a place of performance obligation, the place of performance of the contract must comply with this obligation. </w:t>
      </w:r>
    </w:p>
    <w:p w14:paraId="0BE844B2" w14:textId="77777777" w:rsidR="00C60BD6" w:rsidRPr="00A836B9" w:rsidRDefault="00C60BD6" w:rsidP="490E705E">
      <w:pPr>
        <w:rPr>
          <w:rFonts w:eastAsia="Times New Roman" w:cs="Times New Roman"/>
          <w:b/>
          <w:bCs/>
          <w:i/>
          <w:iCs/>
          <w:u w:val="single"/>
        </w:rPr>
      </w:pPr>
      <w:r w:rsidRPr="00A836B9">
        <w:rPr>
          <w:rFonts w:eastAsia="Times New Roman" w:cs="Times New Roman"/>
          <w:b/>
          <w:bCs/>
          <w:i/>
          <w:iCs/>
          <w:u w:val="single"/>
        </w:rPr>
        <w:t xml:space="preserve">Specific requirements for pre-commercial procurement (PCP) </w:t>
      </w:r>
    </w:p>
    <w:p w14:paraId="68A021B3" w14:textId="586197D0" w:rsidR="00C60BD6" w:rsidRPr="00A836B9" w:rsidRDefault="00C60BD6" w:rsidP="490E705E">
      <w:pPr>
        <w:rPr>
          <w:rFonts w:eastAsia="Times New Roman" w:cs="Times New Roman"/>
        </w:rPr>
      </w:pPr>
      <w:r w:rsidRPr="00A836B9">
        <w:rPr>
          <w:rFonts w:eastAsia="Times New Roman" w:cs="Times New Roman"/>
        </w:rPr>
        <w:t xml:space="preserve">The following requirements apply to ensure that the provisions for PCP in the Horizon Europe </w:t>
      </w:r>
      <w:r w:rsidR="00EA4549" w:rsidRPr="00A836B9">
        <w:rPr>
          <w:rFonts w:eastAsia="Times New Roman" w:cs="Times New Roman"/>
        </w:rPr>
        <w:t>r</w:t>
      </w:r>
      <w:r w:rsidRPr="00A836B9">
        <w:rPr>
          <w:rFonts w:eastAsia="Times New Roman" w:cs="Times New Roman"/>
        </w:rPr>
        <w:t xml:space="preserve">ules for </w:t>
      </w:r>
      <w:r w:rsidR="00EA4549" w:rsidRPr="00A836B9">
        <w:rPr>
          <w:rFonts w:eastAsia="Times New Roman" w:cs="Times New Roman"/>
        </w:rPr>
        <w:t>p</w:t>
      </w:r>
      <w:r w:rsidRPr="00A836B9">
        <w:rPr>
          <w:rFonts w:eastAsia="Times New Roman" w:cs="Times New Roman"/>
        </w:rPr>
        <w:t>articipation, the conditions for the R&amp;D services exemption of the EU Directives on public procurement</w:t>
      </w:r>
      <w:r w:rsidRPr="00A836B9">
        <w:rPr>
          <w:rFonts w:eastAsia="Times New Roman" w:cs="Times New Roman"/>
          <w:vertAlign w:val="superscript"/>
        </w:rPr>
        <w:footnoteReference w:id="23"/>
      </w:r>
      <w:r w:rsidRPr="00A836B9">
        <w:rPr>
          <w:rFonts w:eastAsia="Times New Roman" w:cs="Times New Roman"/>
        </w:rPr>
        <w:t>, the EU Treaty principles</w:t>
      </w:r>
      <w:r w:rsidRPr="00A836B9">
        <w:rPr>
          <w:rFonts w:eastAsia="Times New Roman" w:cs="Times New Roman"/>
          <w:vertAlign w:val="superscript"/>
        </w:rPr>
        <w:footnoteReference w:id="24"/>
      </w:r>
      <w:r w:rsidRPr="00A836B9">
        <w:rPr>
          <w:rFonts w:eastAsia="Times New Roman" w:cs="Times New Roman"/>
        </w:rPr>
        <w:t xml:space="preserve"> and the competition rules</w:t>
      </w:r>
      <w:r w:rsidRPr="00A836B9">
        <w:rPr>
          <w:rFonts w:eastAsia="Times New Roman" w:cs="Times New Roman"/>
          <w:vertAlign w:val="superscript"/>
        </w:rPr>
        <w:footnoteReference w:id="25"/>
      </w:r>
      <w:r w:rsidRPr="00A836B9">
        <w:rPr>
          <w:rFonts w:eastAsia="Times New Roman" w:cs="Times New Roman"/>
        </w:rPr>
        <w:t xml:space="preserve"> are fully respected</w:t>
      </w:r>
      <w:r w:rsidR="004D4CB7" w:rsidRPr="00A836B9">
        <w:rPr>
          <w:rFonts w:eastAsia="Times New Roman" w:cs="Times New Roman"/>
        </w:rPr>
        <w:t>.</w:t>
      </w:r>
    </w:p>
    <w:p w14:paraId="6239C357" w14:textId="77777777" w:rsidR="00C60BD6" w:rsidRPr="00A836B9" w:rsidRDefault="00C60BD6" w:rsidP="490E705E">
      <w:pPr>
        <w:spacing w:after="120"/>
        <w:rPr>
          <w:rFonts w:eastAsia="Times New Roman" w:cs="Times New Roman"/>
          <w:i/>
          <w:iCs/>
        </w:rPr>
      </w:pPr>
      <w:r w:rsidRPr="00A836B9">
        <w:rPr>
          <w:rFonts w:eastAsia="Times New Roman" w:cs="Times New Roman"/>
          <w:i/>
          <w:iCs/>
        </w:rPr>
        <w:t>Definitions</w:t>
      </w:r>
    </w:p>
    <w:p w14:paraId="5D07CF59" w14:textId="51C32421" w:rsidR="00C60BD6" w:rsidRPr="00A836B9" w:rsidRDefault="00C60BD6" w:rsidP="490E705E">
      <w:pPr>
        <w:rPr>
          <w:rFonts w:eastAsia="Times New Roman" w:cs="Times New Roman"/>
        </w:rPr>
      </w:pPr>
      <w:r w:rsidRPr="00A836B9">
        <w:rPr>
          <w:rFonts w:eastAsia="Times New Roman" w:cs="Times New Roman"/>
        </w:rPr>
        <w:t xml:space="preserve">PCP must comply with the Horizon Europe definition: </w:t>
      </w:r>
      <w:r w:rsidR="004D4CB7" w:rsidRPr="00A836B9">
        <w:rPr>
          <w:rFonts w:eastAsia="Times New Roman" w:cs="Times New Roman"/>
          <w:i/>
          <w:iCs/>
        </w:rPr>
        <w:t>‘</w:t>
      </w:r>
      <w:r w:rsidRPr="00A836B9">
        <w:rPr>
          <w:rFonts w:eastAsia="Times New Roman" w:cs="Times New Roman"/>
          <w:i/>
          <w:iCs/>
        </w:rPr>
        <w:t>Pre-commercial procurement</w:t>
      </w:r>
      <w:r w:rsidR="004D4CB7" w:rsidRPr="00A836B9">
        <w:rPr>
          <w:rFonts w:eastAsia="Times New Roman" w:cs="Times New Roman"/>
          <w:i/>
          <w:iCs/>
        </w:rPr>
        <w:t>’</w:t>
      </w:r>
      <w:r w:rsidRPr="00A836B9">
        <w:rPr>
          <w:rFonts w:eastAsia="Times New Roman" w:cs="Times New Roman"/>
        </w:rPr>
        <w:t xml:space="preserve"> means procurement of R&amp;D services involving risk-benefit sharing under market conditions and competitive development in phases, where there is a clear separation between the procurement of the R&amp;D services procured from the deployment of commercial volumes of end-products</w:t>
      </w:r>
      <w:r w:rsidRPr="00A836B9">
        <w:rPr>
          <w:rFonts w:eastAsia="Times New Roman" w:cs="Times New Roman"/>
          <w:vertAlign w:val="superscript"/>
        </w:rPr>
        <w:footnoteReference w:id="26"/>
      </w:r>
      <w:r w:rsidRPr="00A836B9">
        <w:rPr>
          <w:rFonts w:eastAsia="Times New Roman" w:cs="Times New Roman"/>
        </w:rPr>
        <w:t xml:space="preserve">. </w:t>
      </w:r>
    </w:p>
    <w:p w14:paraId="1D585D37" w14:textId="3309E98B" w:rsidR="004D4CB7" w:rsidRPr="00A836B9" w:rsidRDefault="004D4CB7" w:rsidP="490E705E">
      <w:pPr>
        <w:rPr>
          <w:rFonts w:eastAsia="Times New Roman" w:cs="Times New Roman"/>
        </w:rPr>
      </w:pPr>
      <w:r w:rsidRPr="00A836B9">
        <w:rPr>
          <w:rFonts w:eastAsia="Times New Roman" w:cs="Times New Roman"/>
          <w:i/>
          <w:iCs/>
        </w:rPr>
        <w:t>‘</w:t>
      </w:r>
      <w:r w:rsidR="00C60BD6" w:rsidRPr="00A836B9">
        <w:rPr>
          <w:rFonts w:eastAsia="Times New Roman" w:cs="Times New Roman"/>
          <w:i/>
          <w:iCs/>
        </w:rPr>
        <w:t>Risk-benefit sharing under market conditions</w:t>
      </w:r>
      <w:r w:rsidRPr="00A836B9">
        <w:rPr>
          <w:rFonts w:eastAsia="Times New Roman" w:cs="Times New Roman"/>
          <w:i/>
          <w:iCs/>
        </w:rPr>
        <w:t>’</w:t>
      </w:r>
      <w:r w:rsidR="00C60BD6" w:rsidRPr="00A836B9">
        <w:rPr>
          <w:rFonts w:eastAsia="Times New Roman" w:cs="Times New Roman"/>
        </w:rPr>
        <w:t xml:space="preserve"> refers to the PCP approach in which procurers share with suppliers at market price the risks and benefits related to the intellectual property rights (IPR) resulting from the R&amp;D. </w:t>
      </w:r>
    </w:p>
    <w:p w14:paraId="5C26212A" w14:textId="0DF7C77A" w:rsidR="004D4CB7" w:rsidRPr="00A836B9" w:rsidRDefault="004D4CB7" w:rsidP="490E705E">
      <w:pPr>
        <w:rPr>
          <w:rFonts w:eastAsia="Times New Roman" w:cs="Times New Roman"/>
        </w:rPr>
      </w:pPr>
      <w:r w:rsidRPr="00A836B9">
        <w:rPr>
          <w:rFonts w:eastAsia="Times New Roman" w:cs="Times New Roman"/>
          <w:i/>
          <w:iCs/>
        </w:rPr>
        <w:t>‘</w:t>
      </w:r>
      <w:r w:rsidR="00C60BD6" w:rsidRPr="00A836B9">
        <w:rPr>
          <w:rFonts w:eastAsia="Times New Roman" w:cs="Times New Roman"/>
          <w:i/>
          <w:iCs/>
        </w:rPr>
        <w:t>Competitive development in phases</w:t>
      </w:r>
      <w:r w:rsidRPr="00A836B9">
        <w:rPr>
          <w:rFonts w:eastAsia="Times New Roman" w:cs="Times New Roman"/>
          <w:i/>
          <w:iCs/>
        </w:rPr>
        <w:t>’</w:t>
      </w:r>
      <w:r w:rsidR="00C60BD6" w:rsidRPr="00A836B9">
        <w:rPr>
          <w:rFonts w:eastAsia="Times New Roman" w:cs="Times New Roman"/>
        </w:rPr>
        <w:t xml:space="preserve"> refers to buy</w:t>
      </w:r>
      <w:r w:rsidRPr="00A836B9">
        <w:rPr>
          <w:rFonts w:eastAsia="Times New Roman" w:cs="Times New Roman"/>
        </w:rPr>
        <w:t>ing</w:t>
      </w:r>
      <w:r w:rsidR="00C60BD6" w:rsidRPr="00A836B9">
        <w:rPr>
          <w:rFonts w:eastAsia="Times New Roman" w:cs="Times New Roman"/>
        </w:rPr>
        <w:t xml:space="preserve"> the R&amp;D from several competing R&amp;D providers in parallel and to compar</w:t>
      </w:r>
      <w:r w:rsidRPr="00A836B9">
        <w:rPr>
          <w:rFonts w:eastAsia="Times New Roman" w:cs="Times New Roman"/>
        </w:rPr>
        <w:t>ing</w:t>
      </w:r>
      <w:r w:rsidR="00C60BD6" w:rsidRPr="00A836B9">
        <w:rPr>
          <w:rFonts w:eastAsia="Times New Roman" w:cs="Times New Roman"/>
        </w:rPr>
        <w:t xml:space="preserve"> and identify</w:t>
      </w:r>
      <w:r w:rsidRPr="00A836B9">
        <w:rPr>
          <w:rFonts w:eastAsia="Times New Roman" w:cs="Times New Roman"/>
        </w:rPr>
        <w:t>ing</w:t>
      </w:r>
      <w:r w:rsidR="00C60BD6" w:rsidRPr="00A836B9">
        <w:rPr>
          <w:rFonts w:eastAsia="Times New Roman" w:cs="Times New Roman"/>
        </w:rPr>
        <w:t xml:space="preserve"> the best</w:t>
      </w:r>
      <w:r w:rsidR="00BA1206" w:rsidRPr="00A836B9">
        <w:rPr>
          <w:rFonts w:eastAsia="Times New Roman" w:cs="Times New Roman"/>
        </w:rPr>
        <w:t>-</w:t>
      </w:r>
      <w:r w:rsidR="00C60BD6" w:rsidRPr="00A836B9">
        <w:rPr>
          <w:rFonts w:eastAsia="Times New Roman" w:cs="Times New Roman"/>
        </w:rPr>
        <w:t>value</w:t>
      </w:r>
      <w:r w:rsidR="00BA1206" w:rsidRPr="00A836B9">
        <w:rPr>
          <w:rFonts w:eastAsia="Times New Roman" w:cs="Times New Roman"/>
        </w:rPr>
        <w:t>-</w:t>
      </w:r>
      <w:r w:rsidR="00C60BD6" w:rsidRPr="00A836B9">
        <w:rPr>
          <w:rFonts w:eastAsia="Times New Roman" w:cs="Times New Roman"/>
        </w:rPr>
        <w:t>for</w:t>
      </w:r>
      <w:r w:rsidR="00BA1206" w:rsidRPr="00A836B9">
        <w:rPr>
          <w:rFonts w:eastAsia="Times New Roman" w:cs="Times New Roman"/>
        </w:rPr>
        <w:t>-</w:t>
      </w:r>
      <w:r w:rsidR="00C60BD6" w:rsidRPr="00A836B9">
        <w:rPr>
          <w:rFonts w:eastAsia="Times New Roman" w:cs="Times New Roman"/>
        </w:rPr>
        <w:t xml:space="preserve">money solutions on the market to address the PCP challenge. To reduce the investment risk for the procurer, reward the most competitive solutions and facilitate the participation of smaller innovative companies, the R&amp;D is also split into phases (solution design, prototyping, original development and validation/testing of the first products), with the number of competing R&amp;D providers being reduced after each phase. </w:t>
      </w:r>
    </w:p>
    <w:p w14:paraId="0FAA7502" w14:textId="6EA040B5" w:rsidR="00C60BD6" w:rsidRPr="00A836B9" w:rsidRDefault="004D4CB7" w:rsidP="490E705E">
      <w:pPr>
        <w:rPr>
          <w:rFonts w:eastAsia="Times New Roman" w:cs="Times New Roman"/>
        </w:rPr>
      </w:pPr>
      <w:r w:rsidRPr="00A836B9">
        <w:rPr>
          <w:rFonts w:eastAsia="Times New Roman" w:cs="Times New Roman"/>
          <w:i/>
          <w:iCs/>
        </w:rPr>
        <w:t>‘</w:t>
      </w:r>
      <w:r w:rsidR="00C60BD6" w:rsidRPr="00A836B9">
        <w:rPr>
          <w:rFonts w:eastAsia="Times New Roman" w:cs="Times New Roman"/>
          <w:i/>
          <w:iCs/>
        </w:rPr>
        <w:t>Separation from the deployment of commercial volumes of end-products</w:t>
      </w:r>
      <w:r w:rsidRPr="00A836B9">
        <w:rPr>
          <w:rFonts w:eastAsia="Times New Roman" w:cs="Times New Roman"/>
          <w:i/>
          <w:iCs/>
        </w:rPr>
        <w:t>’</w:t>
      </w:r>
      <w:r w:rsidR="00C60BD6" w:rsidRPr="00A836B9">
        <w:rPr>
          <w:rFonts w:eastAsia="Times New Roman" w:cs="Times New Roman"/>
        </w:rPr>
        <w:t xml:space="preserve"> refers to the complementarity of PCP, which focuses on the R&amp;D phase before wide commercialisation, and PPI, which does not focus on R&amp;D but on wide commercialisation/diffusion of solutions. Procurers can, but are not obliged, to procure R&amp;D results from a PCP.</w:t>
      </w:r>
    </w:p>
    <w:p w14:paraId="195781E1" w14:textId="77777777" w:rsidR="00C60BD6" w:rsidRPr="00A836B9" w:rsidRDefault="00C60BD6" w:rsidP="490E705E">
      <w:pPr>
        <w:spacing w:after="120"/>
        <w:rPr>
          <w:rFonts w:eastAsia="Times New Roman" w:cs="Times New Roman"/>
          <w:i/>
          <w:iCs/>
        </w:rPr>
      </w:pPr>
      <w:r w:rsidRPr="00A836B9">
        <w:rPr>
          <w:rFonts w:eastAsia="Times New Roman" w:cs="Times New Roman"/>
          <w:i/>
          <w:iCs/>
        </w:rPr>
        <w:t xml:space="preserve">Preparation and publication of the open market consultation and call for tender </w:t>
      </w:r>
    </w:p>
    <w:p w14:paraId="4D1E5866" w14:textId="6A81AB40" w:rsidR="00C60BD6" w:rsidRPr="00A836B9" w:rsidRDefault="00C60BD6" w:rsidP="490E705E">
      <w:pPr>
        <w:rPr>
          <w:rFonts w:eastAsia="Times New Roman" w:cs="Times New Roman"/>
        </w:rPr>
      </w:pPr>
      <w:r w:rsidRPr="00A836B9">
        <w:rPr>
          <w:rFonts w:eastAsia="Times New Roman" w:cs="Times New Roman"/>
        </w:rPr>
        <w:t xml:space="preserve">To prepare the call for tender, an open </w:t>
      </w:r>
      <w:bookmarkStart w:id="14" w:name="_Ref35876234"/>
      <w:r w:rsidRPr="00A836B9">
        <w:rPr>
          <w:rFonts w:eastAsia="Times New Roman" w:cs="Times New Roman"/>
        </w:rPr>
        <w:t>market consultation</w:t>
      </w:r>
      <w:bookmarkEnd w:id="14"/>
      <w:r w:rsidRPr="00A836B9">
        <w:rPr>
          <w:rFonts w:eastAsia="Times New Roman" w:cs="Times New Roman"/>
          <w:vertAlign w:val="superscript"/>
        </w:rPr>
        <w:footnoteReference w:id="27"/>
      </w:r>
      <w:r w:rsidRPr="00A836B9">
        <w:rPr>
          <w:rFonts w:eastAsia="Times New Roman" w:cs="Times New Roman"/>
        </w:rPr>
        <w:t xml:space="preserve"> with potential tenderers and end-users must be held to broach the views of the market </w:t>
      </w:r>
      <w:r w:rsidR="00EA4549" w:rsidRPr="00A836B9">
        <w:rPr>
          <w:rFonts w:eastAsia="Times New Roman" w:cs="Times New Roman"/>
        </w:rPr>
        <w:t>on</w:t>
      </w:r>
      <w:r w:rsidRPr="00A836B9">
        <w:rPr>
          <w:rFonts w:eastAsia="Times New Roman" w:cs="Times New Roman"/>
        </w:rPr>
        <w:t xml:space="preserve"> the intended </w:t>
      </w:r>
      <w:r w:rsidR="00EA4549" w:rsidRPr="00A836B9">
        <w:rPr>
          <w:rFonts w:eastAsia="Times New Roman" w:cs="Times New Roman"/>
        </w:rPr>
        <w:t xml:space="preserve">scope of the </w:t>
      </w:r>
      <w:r w:rsidRPr="00A836B9">
        <w:rPr>
          <w:rFonts w:eastAsia="Times New Roman" w:cs="Times New Roman"/>
        </w:rPr>
        <w:t>R&amp;D. The results of this open market consultation must be taken into account to fine-tune the tender specifications, so that the gap between state-of-the</w:t>
      </w:r>
      <w:r w:rsidR="004D4CB7" w:rsidRPr="00A836B9">
        <w:rPr>
          <w:rFonts w:eastAsia="Times New Roman" w:cs="Times New Roman"/>
        </w:rPr>
        <w:t>-</w:t>
      </w:r>
      <w:r w:rsidRPr="00A836B9">
        <w:rPr>
          <w:rFonts w:eastAsia="Times New Roman" w:cs="Times New Roman"/>
        </w:rPr>
        <w:t>art industry development and the procurement needs justifies the procur</w:t>
      </w:r>
      <w:r w:rsidR="004D4CB7" w:rsidRPr="00A836B9">
        <w:rPr>
          <w:rFonts w:eastAsia="Times New Roman" w:cs="Times New Roman"/>
        </w:rPr>
        <w:t>ing of</w:t>
      </w:r>
      <w:r w:rsidRPr="00A836B9">
        <w:rPr>
          <w:rFonts w:eastAsia="Times New Roman" w:cs="Times New Roman"/>
        </w:rPr>
        <w:t xml:space="preserve"> R&amp;D</w:t>
      </w:r>
      <w:r w:rsidRPr="00A836B9">
        <w:rPr>
          <w:rFonts w:eastAsia="Times New Roman" w:cs="Times New Roman"/>
          <w:vertAlign w:val="superscript"/>
        </w:rPr>
        <w:footnoteReference w:id="28"/>
      </w:r>
      <w:r w:rsidRPr="00A836B9">
        <w:rPr>
          <w:rFonts w:eastAsia="Times New Roman" w:cs="Times New Roman"/>
        </w:rPr>
        <w:t xml:space="preserve"> services.</w:t>
      </w:r>
    </w:p>
    <w:p w14:paraId="20321BB8" w14:textId="3A557220" w:rsidR="00C60BD6" w:rsidRPr="00A836B9" w:rsidRDefault="00C60BD6" w:rsidP="490E705E">
      <w:pPr>
        <w:rPr>
          <w:rFonts w:eastAsia="Times New Roman" w:cs="Times New Roman"/>
        </w:rPr>
      </w:pPr>
      <w:r w:rsidRPr="00A836B9">
        <w:rPr>
          <w:rFonts w:eastAsia="Times New Roman" w:cs="Times New Roman"/>
        </w:rPr>
        <w:t>The PCP contract notice must be published EU-wide</w:t>
      </w:r>
      <w:r w:rsidRPr="00A836B9">
        <w:rPr>
          <w:rFonts w:eastAsia="Times New Roman" w:cs="Times New Roman"/>
          <w:vertAlign w:val="superscript"/>
        </w:rPr>
        <w:footnoteReference w:id="29"/>
      </w:r>
      <w:r w:rsidRPr="00A836B9">
        <w:rPr>
          <w:rFonts w:eastAsia="Times New Roman" w:cs="Times New Roman"/>
        </w:rPr>
        <w:t xml:space="preserve"> in at least English</w:t>
      </w:r>
      <w:r w:rsidR="00850158" w:rsidRPr="00A836B9">
        <w:rPr>
          <w:rFonts w:eastAsia="Times New Roman" w:cs="Times New Roman"/>
        </w:rPr>
        <w:t>. O</w:t>
      </w:r>
      <w:r w:rsidRPr="00A836B9">
        <w:rPr>
          <w:rFonts w:eastAsia="Times New Roman" w:cs="Times New Roman"/>
        </w:rPr>
        <w:t>ffers must be accepted and communication with stakeholders must be enabled at all stages in at least English.</w:t>
      </w:r>
      <w:r w:rsidR="0099732C" w:rsidRPr="00A836B9">
        <w:rPr>
          <w:rFonts w:eastAsia="Times New Roman" w:cs="Times New Roman"/>
        </w:rPr>
        <w:t xml:space="preserve"> </w:t>
      </w:r>
      <w:r w:rsidRPr="00A836B9">
        <w:rPr>
          <w:rFonts w:eastAsia="Times New Roman" w:cs="Times New Roman"/>
        </w:rPr>
        <w:t>All offers must be evaluated according to the same objective criteria, regardless of the geographic</w:t>
      </w:r>
      <w:r w:rsidR="00EA4549" w:rsidRPr="00A836B9">
        <w:rPr>
          <w:rFonts w:eastAsia="Times New Roman" w:cs="Times New Roman"/>
        </w:rPr>
        <w:t>al</w:t>
      </w:r>
      <w:r w:rsidRPr="00A836B9">
        <w:rPr>
          <w:rFonts w:eastAsia="Times New Roman" w:cs="Times New Roman"/>
        </w:rPr>
        <w:t xml:space="preserve"> location, </w:t>
      </w:r>
      <w:r w:rsidR="00646943" w:rsidRPr="00A836B9">
        <w:rPr>
          <w:rFonts w:eastAsia="Times New Roman" w:cs="Times New Roman"/>
        </w:rPr>
        <w:t xml:space="preserve">size of </w:t>
      </w:r>
      <w:r w:rsidRPr="00A836B9">
        <w:rPr>
          <w:rFonts w:eastAsia="Times New Roman" w:cs="Times New Roman"/>
        </w:rPr>
        <w:t xml:space="preserve">organisation or governance structure of the tenderers. </w:t>
      </w:r>
    </w:p>
    <w:p w14:paraId="3D5E3371" w14:textId="64C21079" w:rsidR="00C60BD6" w:rsidRPr="00A836B9" w:rsidRDefault="00C60BD6" w:rsidP="490E705E">
      <w:pPr>
        <w:rPr>
          <w:rFonts w:eastAsia="Times New Roman" w:cs="Times New Roman"/>
        </w:rPr>
      </w:pPr>
      <w:r w:rsidRPr="00A836B9">
        <w:rPr>
          <w:rFonts w:eastAsia="Times New Roman" w:cs="Times New Roman"/>
        </w:rPr>
        <w:t xml:space="preserve">The prior information notice for the open market consultation and the contract notice must be advertised widely, using in particular Horizon Europe </w:t>
      </w:r>
      <w:r w:rsidR="00646943" w:rsidRPr="00A836B9">
        <w:rPr>
          <w:rFonts w:eastAsia="Times New Roman" w:cs="Times New Roman"/>
        </w:rPr>
        <w:t>i</w:t>
      </w:r>
      <w:r w:rsidRPr="00A836B9">
        <w:rPr>
          <w:rFonts w:eastAsia="Times New Roman" w:cs="Times New Roman"/>
        </w:rPr>
        <w:t xml:space="preserve">nternet sites and </w:t>
      </w:r>
      <w:r w:rsidR="00EA4549" w:rsidRPr="00A836B9">
        <w:rPr>
          <w:rFonts w:eastAsia="Times New Roman" w:cs="Times New Roman"/>
        </w:rPr>
        <w:t>n</w:t>
      </w:r>
      <w:r w:rsidRPr="00A836B9">
        <w:rPr>
          <w:rFonts w:eastAsia="Times New Roman" w:cs="Times New Roman"/>
        </w:rPr>
        <w:t xml:space="preserve">ational </w:t>
      </w:r>
      <w:r w:rsidR="00EA4549" w:rsidRPr="00A836B9">
        <w:rPr>
          <w:rFonts w:eastAsia="Times New Roman" w:cs="Times New Roman"/>
        </w:rPr>
        <w:t>c</w:t>
      </w:r>
      <w:r w:rsidRPr="00A836B9">
        <w:rPr>
          <w:rFonts w:eastAsia="Times New Roman" w:cs="Times New Roman"/>
        </w:rPr>
        <w:t xml:space="preserve">ontact </w:t>
      </w:r>
      <w:r w:rsidR="00EA4549" w:rsidRPr="00A836B9">
        <w:rPr>
          <w:rFonts w:eastAsia="Times New Roman" w:cs="Times New Roman"/>
        </w:rPr>
        <w:t>p</w:t>
      </w:r>
      <w:r w:rsidRPr="00A836B9">
        <w:rPr>
          <w:rFonts w:eastAsia="Times New Roman" w:cs="Times New Roman"/>
        </w:rPr>
        <w:t xml:space="preserve">oints. The Commission must be informed at least 5 days before the expected date of publication of the prior information notice for the open market consultation and 30 days before the expected date of publication of the PCP contract notice. The PCP call for tenders must remain open for at least 60 days. </w:t>
      </w:r>
    </w:p>
    <w:p w14:paraId="61E84878" w14:textId="03FEDF0E" w:rsidR="00C60BD6" w:rsidRPr="00A836B9" w:rsidRDefault="00C60BD6" w:rsidP="490E705E">
      <w:pPr>
        <w:spacing w:after="120"/>
        <w:rPr>
          <w:rFonts w:eastAsia="Times New Roman" w:cs="Times New Roman"/>
          <w:i/>
          <w:iCs/>
        </w:rPr>
      </w:pPr>
      <w:r w:rsidRPr="00A836B9">
        <w:rPr>
          <w:rFonts w:eastAsia="Times New Roman" w:cs="Times New Roman"/>
          <w:i/>
          <w:iCs/>
        </w:rPr>
        <w:t>Tender documentation, procurement and implementation</w:t>
      </w:r>
      <w:r w:rsidR="00EA4549" w:rsidRPr="00A836B9">
        <w:rPr>
          <w:rFonts w:eastAsia="Times New Roman" w:cs="Times New Roman"/>
          <w:i/>
          <w:iCs/>
        </w:rPr>
        <w:t xml:space="preserve"> of the contract</w:t>
      </w:r>
    </w:p>
    <w:p w14:paraId="27311C4E" w14:textId="63BFE18B" w:rsidR="00C60BD6" w:rsidRPr="00A836B9" w:rsidRDefault="00C60BD6" w:rsidP="490E705E">
      <w:pPr>
        <w:rPr>
          <w:rFonts w:eastAsia="Times New Roman" w:cs="Times New Roman"/>
        </w:rPr>
      </w:pPr>
      <w:r w:rsidRPr="00A836B9">
        <w:rPr>
          <w:rFonts w:eastAsia="Times New Roman" w:cs="Times New Roman"/>
        </w:rPr>
        <w:t>The PCP contract that will be concluded with each selected tenderer must take the form of one single framework agreement covering all PCP phases, without contract renegotiations after the award. This framework agreement must contain information on the procedures for implementing the different phases (through specific contracts), including the format of the intermediate evaluations (incl</w:t>
      </w:r>
      <w:r w:rsidR="00646943" w:rsidRPr="00A836B9">
        <w:rPr>
          <w:rFonts w:eastAsia="Times New Roman" w:cs="Times New Roman"/>
        </w:rPr>
        <w:t>uding</w:t>
      </w:r>
      <w:r w:rsidRPr="00A836B9">
        <w:rPr>
          <w:rFonts w:eastAsia="Times New Roman" w:cs="Times New Roman"/>
        </w:rPr>
        <w:t xml:space="preserve"> evaluation criteria and weightings) for each phase. </w:t>
      </w:r>
    </w:p>
    <w:p w14:paraId="2217A7B7" w14:textId="33357E5D" w:rsidR="00C60BD6" w:rsidRPr="00A836B9" w:rsidRDefault="00C60BD6" w:rsidP="490E705E">
      <w:pPr>
        <w:rPr>
          <w:rFonts w:eastAsia="Times New Roman" w:cs="Times New Roman"/>
        </w:rPr>
      </w:pPr>
      <w:r w:rsidRPr="00A836B9">
        <w:rPr>
          <w:rFonts w:eastAsia="Times New Roman" w:cs="Times New Roman"/>
        </w:rPr>
        <w:t>For PCP executed</w:t>
      </w:r>
      <w:r w:rsidR="008C170F" w:rsidRPr="00A836B9">
        <w:rPr>
          <w:rFonts w:eastAsia="Times New Roman" w:cs="Times New Roman"/>
        </w:rPr>
        <w:t xml:space="preserve"> </w:t>
      </w:r>
      <w:r w:rsidRPr="00A836B9">
        <w:rPr>
          <w:rFonts w:eastAsia="Times New Roman" w:cs="Times New Roman"/>
        </w:rPr>
        <w:t>by a group of procurers, the R&amp;D service contracts are awarded by the lead procurer and all selected tenderers can be paid by the lead procurer, or pro rata by each procurer in the buyers</w:t>
      </w:r>
      <w:r w:rsidR="00F31F5B" w:rsidRPr="00A836B9">
        <w:rPr>
          <w:rFonts w:eastAsia="Times New Roman" w:cs="Times New Roman"/>
        </w:rPr>
        <w:t>’</w:t>
      </w:r>
      <w:r w:rsidRPr="00A836B9">
        <w:rPr>
          <w:rFonts w:eastAsia="Times New Roman" w:cs="Times New Roman"/>
        </w:rPr>
        <w:t xml:space="preserve"> group according to their share in the total PCP budget.</w:t>
      </w:r>
    </w:p>
    <w:p w14:paraId="0089E6FC" w14:textId="48D7F9CA" w:rsidR="00C60BD6" w:rsidRPr="00A836B9" w:rsidRDefault="00C60BD6" w:rsidP="490E705E">
      <w:pPr>
        <w:rPr>
          <w:rFonts w:eastAsia="Times New Roman" w:cs="Times New Roman"/>
        </w:rPr>
      </w:pPr>
      <w:r w:rsidRPr="00A836B9">
        <w:rPr>
          <w:rFonts w:eastAsia="Times New Roman" w:cs="Times New Roman"/>
        </w:rPr>
        <w:t xml:space="preserve">The PCP contract notice must contain information on the intended number of R&amp;D providers that will be selected (minimum </w:t>
      </w:r>
      <w:r w:rsidR="00AA1D4F" w:rsidRPr="00A836B9">
        <w:rPr>
          <w:rFonts w:eastAsia="Times New Roman" w:cs="Times New Roman"/>
        </w:rPr>
        <w:t xml:space="preserve">of </w:t>
      </w:r>
      <w:r w:rsidRPr="00A836B9">
        <w:rPr>
          <w:rFonts w:eastAsia="Times New Roman" w:cs="Times New Roman"/>
        </w:rPr>
        <w:t>three</w:t>
      </w:r>
      <w:r w:rsidR="00AA1D4F" w:rsidRPr="00A836B9">
        <w:rPr>
          <w:rFonts w:eastAsia="Times New Roman" w:cs="Times New Roman"/>
        </w:rPr>
        <w:t xml:space="preserve"> providers</w:t>
      </w:r>
      <w:r w:rsidRPr="00A836B9">
        <w:rPr>
          <w:rFonts w:eastAsia="Times New Roman" w:cs="Times New Roman"/>
        </w:rPr>
        <w:t>) to start the PCP, the number of PCP phases and the expected duration and budget for each PCP phase. The PCP must cover the full PCP life cycle of solution design, prototyping, and original development</w:t>
      </w:r>
      <w:r w:rsidR="00646943" w:rsidRPr="00A836B9">
        <w:rPr>
          <w:rFonts w:eastAsia="Times New Roman" w:cs="Times New Roman"/>
        </w:rPr>
        <w:t>,</w:t>
      </w:r>
      <w:r w:rsidRPr="00A836B9">
        <w:rPr>
          <w:rFonts w:eastAsia="Times New Roman" w:cs="Times New Roman"/>
        </w:rPr>
        <w:t xml:space="preserve"> including installation and testing of a limited volume of test series products/services in the procurer</w:t>
      </w:r>
      <w:r w:rsidR="00646943" w:rsidRPr="00A836B9">
        <w:rPr>
          <w:rFonts w:eastAsia="Times New Roman" w:cs="Times New Roman"/>
        </w:rPr>
        <w:t>’</w:t>
      </w:r>
      <w:r w:rsidRPr="00A836B9">
        <w:rPr>
          <w:rFonts w:eastAsia="Times New Roman" w:cs="Times New Roman"/>
        </w:rPr>
        <w:t>s/end-user</w:t>
      </w:r>
      <w:r w:rsidR="00646943" w:rsidRPr="00A836B9">
        <w:rPr>
          <w:rFonts w:eastAsia="Times New Roman" w:cs="Times New Roman"/>
        </w:rPr>
        <w:t>’</w:t>
      </w:r>
      <w:r w:rsidRPr="00A836B9">
        <w:rPr>
          <w:rFonts w:eastAsia="Times New Roman" w:cs="Times New Roman"/>
        </w:rPr>
        <w:t xml:space="preserve">s premises. Each of the three PCP phases can be split up into further phases if appropriate. </w:t>
      </w:r>
    </w:p>
    <w:p w14:paraId="456EFA4F" w14:textId="2D399BD2" w:rsidR="00C60BD6" w:rsidRPr="00A836B9" w:rsidRDefault="00C60BD6" w:rsidP="490E705E">
      <w:pPr>
        <w:rPr>
          <w:rFonts w:eastAsia="Times New Roman" w:cs="Times New Roman"/>
        </w:rPr>
      </w:pPr>
      <w:r w:rsidRPr="00A836B9">
        <w:rPr>
          <w:rFonts w:eastAsia="Times New Roman" w:cs="Times New Roman"/>
        </w:rPr>
        <w:t xml:space="preserve">The following simplified and/or accelerated PCP procedures may be used: </w:t>
      </w:r>
      <w:r w:rsidR="00646943" w:rsidRPr="00A836B9">
        <w:rPr>
          <w:rFonts w:eastAsia="Times New Roman" w:cs="Times New Roman"/>
        </w:rPr>
        <w:t>f</w:t>
      </w:r>
      <w:r w:rsidRPr="00A836B9">
        <w:rPr>
          <w:rFonts w:eastAsia="Times New Roman" w:cs="Times New Roman"/>
        </w:rPr>
        <w:t>or PCP that require fast deployment</w:t>
      </w:r>
      <w:r w:rsidRPr="00A836B9">
        <w:rPr>
          <w:rFonts w:eastAsia="Times New Roman" w:cs="Times New Roman"/>
          <w:vertAlign w:val="superscript"/>
        </w:rPr>
        <w:footnoteReference w:id="30"/>
      </w:r>
      <w:r w:rsidRPr="00A836B9">
        <w:rPr>
          <w:rFonts w:eastAsia="Times New Roman" w:cs="Times New Roman"/>
        </w:rPr>
        <w:t>, one specific contract may cover both the second and third PCP phase</w:t>
      </w:r>
      <w:r w:rsidR="00646943" w:rsidRPr="00A836B9">
        <w:rPr>
          <w:rFonts w:eastAsia="Times New Roman" w:cs="Times New Roman"/>
        </w:rPr>
        <w:t>;</w:t>
      </w:r>
      <w:r w:rsidRPr="00A836B9">
        <w:rPr>
          <w:rFonts w:eastAsia="Times New Roman" w:cs="Times New Roman"/>
        </w:rPr>
        <w:t xml:space="preserve"> </w:t>
      </w:r>
      <w:r w:rsidR="00646943" w:rsidRPr="00A836B9">
        <w:rPr>
          <w:rFonts w:eastAsia="Times New Roman" w:cs="Times New Roman"/>
        </w:rPr>
        <w:t>i</w:t>
      </w:r>
      <w:r w:rsidRPr="00A836B9">
        <w:rPr>
          <w:rFonts w:eastAsia="Times New Roman" w:cs="Times New Roman"/>
        </w:rPr>
        <w:t xml:space="preserve">f </w:t>
      </w:r>
      <w:r w:rsidR="00646943" w:rsidRPr="00A836B9">
        <w:rPr>
          <w:rFonts w:eastAsia="Times New Roman" w:cs="Times New Roman"/>
        </w:rPr>
        <w:t>fewer</w:t>
      </w:r>
      <w:r w:rsidRPr="00A836B9">
        <w:rPr>
          <w:rFonts w:eastAsia="Times New Roman" w:cs="Times New Roman"/>
        </w:rPr>
        <w:t xml:space="preserve"> than two tenderers are capable of performing the R&amp;D services in the EU Member States or Associated Countries (for security contracts, this may be restricted to the Member States), the phase 1 contracts may be awarded to a minimum of two tenderers.</w:t>
      </w:r>
    </w:p>
    <w:p w14:paraId="4D857B59" w14:textId="706BC1C3" w:rsidR="00C60BD6" w:rsidRPr="00A836B9" w:rsidRDefault="00C60BD6" w:rsidP="490E705E">
      <w:pPr>
        <w:rPr>
          <w:rFonts w:eastAsia="Times New Roman" w:cs="Times New Roman"/>
        </w:rPr>
      </w:pPr>
      <w:r w:rsidRPr="00A836B9">
        <w:rPr>
          <w:rFonts w:eastAsia="Times New Roman" w:cs="Times New Roman"/>
        </w:rPr>
        <w:t xml:space="preserve">Procurers must avoid the use of selection criteria based on disproportionate qualification and financial guarantee requirements </w:t>
      </w:r>
      <w:r w:rsidRPr="00A836B9">
        <w:rPr>
          <w:rFonts w:eastAsia="Times New Roman" w:cs="Times New Roman"/>
          <w:iCs/>
        </w:rPr>
        <w:t>(e.g. with regard to prior customer references and minimum turnover)</w:t>
      </w:r>
      <w:r w:rsidRPr="00A836B9">
        <w:rPr>
          <w:rFonts w:eastAsia="Times New Roman" w:cs="Times New Roman"/>
        </w:rPr>
        <w:t xml:space="preserve">. Functional/performance-based specifications must be used to formulate the object of the PCP call for tender as a problem to be solved, without prescribing a specific approach to be followed. Evaluation of the tenders must be based on best-value-for-money criteria, not just lowest price. </w:t>
      </w:r>
    </w:p>
    <w:p w14:paraId="14D9D1B0" w14:textId="70F53D77" w:rsidR="00C60BD6" w:rsidRPr="00A836B9" w:rsidRDefault="00C60BD6" w:rsidP="490E705E">
      <w:pPr>
        <w:rPr>
          <w:rFonts w:eastAsia="Times New Roman" w:cs="Times New Roman"/>
        </w:rPr>
      </w:pPr>
      <w:r w:rsidRPr="00A836B9">
        <w:rPr>
          <w:rFonts w:eastAsia="Times New Roman" w:cs="Times New Roman"/>
        </w:rPr>
        <w:t>The PCP process must be organised to avoid</w:t>
      </w:r>
      <w:r w:rsidR="0099732C" w:rsidRPr="00A836B9">
        <w:rPr>
          <w:rFonts w:eastAsia="Times New Roman" w:cs="Times New Roman"/>
        </w:rPr>
        <w:t xml:space="preserve"> </w:t>
      </w:r>
      <w:r w:rsidRPr="00A836B9">
        <w:rPr>
          <w:rFonts w:eastAsia="Times New Roman" w:cs="Times New Roman"/>
        </w:rPr>
        <w:t>any conflict</w:t>
      </w:r>
      <w:r w:rsidR="00AA1D4F" w:rsidRPr="00A836B9">
        <w:rPr>
          <w:rFonts w:eastAsia="Times New Roman" w:cs="Times New Roman"/>
        </w:rPr>
        <w:t>s</w:t>
      </w:r>
      <w:r w:rsidRPr="00A836B9">
        <w:rPr>
          <w:rFonts w:eastAsia="Times New Roman" w:cs="Times New Roman"/>
        </w:rPr>
        <w:t xml:space="preserve"> of interest, including in the use of external experts. Providers cannot be beneficiaries in an action during which the PCP is planned or undertaken. </w:t>
      </w:r>
    </w:p>
    <w:p w14:paraId="034E03F0" w14:textId="45FB6E52" w:rsidR="00C60BD6" w:rsidRPr="00A836B9" w:rsidRDefault="00C60BD6" w:rsidP="490E705E">
      <w:pPr>
        <w:rPr>
          <w:rFonts w:eastAsia="Times New Roman" w:cs="Times New Roman"/>
        </w:rPr>
      </w:pPr>
      <w:r w:rsidRPr="00A836B9">
        <w:rPr>
          <w:rFonts w:eastAsia="Times New Roman" w:cs="Times New Roman"/>
        </w:rPr>
        <w:t>The PCP process must require selected providers to locate the majority of the R&amp;D activities, including the principal researcher(s) working for the PCP contract</w:t>
      </w:r>
      <w:r w:rsidR="00646943" w:rsidRPr="00A836B9">
        <w:rPr>
          <w:rFonts w:eastAsia="Times New Roman" w:cs="Times New Roman"/>
        </w:rPr>
        <w:t xml:space="preserve"> in particular</w:t>
      </w:r>
      <w:r w:rsidRPr="00A836B9">
        <w:rPr>
          <w:rFonts w:eastAsia="Times New Roman" w:cs="Times New Roman"/>
        </w:rPr>
        <w:t>, in the Member States or Associated Countries</w:t>
      </w:r>
      <w:r w:rsidRPr="00A836B9">
        <w:rPr>
          <w:rFonts w:eastAsia="Times New Roman" w:cs="Times New Roman"/>
          <w:vertAlign w:val="superscript"/>
        </w:rPr>
        <w:footnoteReference w:id="31"/>
      </w:r>
      <w:r w:rsidRPr="00A836B9">
        <w:rPr>
          <w:rFonts w:eastAsia="Times New Roman" w:cs="Times New Roman"/>
        </w:rPr>
        <w:t xml:space="preserve">. </w:t>
      </w:r>
    </w:p>
    <w:p w14:paraId="0A8C3E01" w14:textId="1DD946F0" w:rsidR="00646943" w:rsidRPr="00A836B9" w:rsidRDefault="00C60BD6" w:rsidP="490E705E">
      <w:pPr>
        <w:rPr>
          <w:rFonts w:eastAsia="Times New Roman" w:cs="Times New Roman"/>
        </w:rPr>
      </w:pPr>
      <w:r w:rsidRPr="00A836B9">
        <w:rPr>
          <w:rFonts w:eastAsia="Times New Roman" w:cs="Times New Roman"/>
        </w:rPr>
        <w:t>The PCP procurers must not reserve the R&amp;D results exclusively for their own use. The</w:t>
      </w:r>
      <w:r w:rsidR="008C170F" w:rsidRPr="00A836B9">
        <w:rPr>
          <w:rFonts w:eastAsia="Times New Roman" w:cs="Times New Roman"/>
        </w:rPr>
        <w:t xml:space="preserve"> </w:t>
      </w:r>
      <w:r w:rsidRPr="00A836B9">
        <w:rPr>
          <w:rFonts w:eastAsia="Times New Roman" w:cs="Times New Roman"/>
        </w:rPr>
        <w:t>providers generating results must own the attached IPR</w:t>
      </w:r>
      <w:r w:rsidR="00AA1D4F" w:rsidRPr="00A836B9">
        <w:rPr>
          <w:rFonts w:eastAsia="Times New Roman" w:cs="Times New Roman"/>
        </w:rPr>
        <w:t>, and</w:t>
      </w:r>
      <w:r w:rsidRPr="00A836B9">
        <w:rPr>
          <w:rFonts w:eastAsia="Times New Roman" w:cs="Times New Roman"/>
        </w:rPr>
        <w:t xml:space="preserve"> </w:t>
      </w:r>
      <w:r w:rsidR="00AA1D4F" w:rsidRPr="00A836B9">
        <w:rPr>
          <w:rFonts w:eastAsia="Times New Roman" w:cs="Times New Roman"/>
        </w:rPr>
        <w:t>t</w:t>
      </w:r>
      <w:r w:rsidRPr="00A836B9">
        <w:rPr>
          <w:rFonts w:eastAsia="Times New Roman" w:cs="Times New Roman"/>
        </w:rPr>
        <w:t>he procurers must enjoy at least royalty-free access rights to use the R&amp;D results for their own use. The procurers must also enjoy the right to grant (or to require the granting of) non-exclusive licen</w:t>
      </w:r>
      <w:r w:rsidR="00E62215">
        <w:rPr>
          <w:rFonts w:eastAsia="Times New Roman" w:cs="Times New Roman"/>
        </w:rPr>
        <w:t>c</w:t>
      </w:r>
      <w:r w:rsidRPr="00A836B9">
        <w:rPr>
          <w:rFonts w:eastAsia="Times New Roman" w:cs="Times New Roman"/>
        </w:rPr>
        <w:t>es to third parties, to exploit the results under fair and reasonable market conditions, without any right to sublicense. A call-back provision must ensure that, in case the providers fail to commercially exploit the results within a given period after the PCP</w:t>
      </w:r>
      <w:r w:rsidR="00AA1D4F" w:rsidRPr="00A836B9">
        <w:rPr>
          <w:rFonts w:eastAsia="Times New Roman" w:cs="Times New Roman"/>
        </w:rPr>
        <w:t>,</w:t>
      </w:r>
      <w:r w:rsidRPr="00A836B9">
        <w:rPr>
          <w:rFonts w:eastAsia="Times New Roman" w:cs="Times New Roman"/>
        </w:rPr>
        <w:t xml:space="preserve"> or use the results to the detriment of the public interest, including security interests, the procurers can require transfer of the ownership of the results. </w:t>
      </w:r>
    </w:p>
    <w:p w14:paraId="62F9CE19" w14:textId="46E028BB" w:rsidR="00C60BD6" w:rsidRPr="00A836B9" w:rsidRDefault="00C60BD6" w:rsidP="490E705E">
      <w:pPr>
        <w:rPr>
          <w:rFonts w:eastAsia="Times New Roman" w:cs="Times New Roman"/>
        </w:rPr>
      </w:pPr>
      <w:r w:rsidRPr="00A836B9">
        <w:rPr>
          <w:rFonts w:eastAsia="Times New Roman" w:cs="Times New Roman"/>
        </w:rPr>
        <w:t xml:space="preserve">The procurers must inform tenderers of the right to publish public summaries of the results of the PCP project, including information about key R&amp;D results attained and lessons learnt </w:t>
      </w:r>
      <w:r w:rsidRPr="00A836B9">
        <w:rPr>
          <w:rFonts w:eastAsia="Times New Roman" w:cs="Times New Roman"/>
          <w:iCs/>
        </w:rPr>
        <w:t>(e.g. on the feasibility of the solution approaches to meet the requirements and lessons learnt for potential future deployment of solutions)</w:t>
      </w:r>
      <w:r w:rsidRPr="00A836B9">
        <w:rPr>
          <w:rFonts w:eastAsia="Times New Roman" w:cs="Times New Roman"/>
        </w:rPr>
        <w:t xml:space="preserve">. Details that would be contrary to the public interest, would harm legitimate business interests </w:t>
      </w:r>
      <w:r w:rsidRPr="00A836B9">
        <w:rPr>
          <w:rFonts w:eastAsia="Times New Roman" w:cs="Times New Roman"/>
          <w:iCs/>
        </w:rPr>
        <w:t>(e.g. regarding IPR</w:t>
      </w:r>
      <w:r w:rsidR="00BA1206" w:rsidRPr="00A836B9">
        <w:rPr>
          <w:rFonts w:eastAsia="Times New Roman" w:cs="Times New Roman"/>
          <w:iCs/>
        </w:rPr>
        <w:t>-</w:t>
      </w:r>
      <w:r w:rsidRPr="00A836B9">
        <w:rPr>
          <w:rFonts w:eastAsia="Times New Roman" w:cs="Times New Roman"/>
          <w:iCs/>
        </w:rPr>
        <w:t xml:space="preserve">protected specificities of their individual </w:t>
      </w:r>
      <w:r w:rsidR="00BA1206" w:rsidRPr="00A836B9">
        <w:rPr>
          <w:rFonts w:eastAsia="Times New Roman" w:cs="Times New Roman"/>
          <w:iCs/>
        </w:rPr>
        <w:t xml:space="preserve">approaches to </w:t>
      </w:r>
      <w:r w:rsidRPr="00A836B9">
        <w:rPr>
          <w:rFonts w:eastAsia="Times New Roman" w:cs="Times New Roman"/>
          <w:iCs/>
        </w:rPr>
        <w:t>solution</w:t>
      </w:r>
      <w:r w:rsidR="00BA1206" w:rsidRPr="00A836B9">
        <w:rPr>
          <w:rFonts w:eastAsia="Times New Roman" w:cs="Times New Roman"/>
          <w:iCs/>
        </w:rPr>
        <w:t>s</w:t>
      </w:r>
      <w:r w:rsidRPr="00A836B9">
        <w:rPr>
          <w:rFonts w:eastAsia="Times New Roman" w:cs="Times New Roman"/>
          <w:iCs/>
        </w:rPr>
        <w:t>)</w:t>
      </w:r>
      <w:r w:rsidRPr="00A836B9">
        <w:rPr>
          <w:rFonts w:eastAsia="Times New Roman" w:cs="Times New Roman"/>
        </w:rPr>
        <w:t xml:space="preserve"> or could distort fair competition may not be disclosed. </w:t>
      </w:r>
    </w:p>
    <w:p w14:paraId="246492F7" w14:textId="56609031" w:rsidR="00C60BD6" w:rsidRPr="00A836B9" w:rsidRDefault="00C60BD6" w:rsidP="490E705E">
      <w:pPr>
        <w:rPr>
          <w:rFonts w:eastAsia="Times New Roman" w:cs="Times New Roman"/>
        </w:rPr>
      </w:pPr>
      <w:r w:rsidRPr="00A836B9">
        <w:rPr>
          <w:rFonts w:eastAsia="Times New Roman" w:cs="Times New Roman"/>
        </w:rPr>
        <w:t xml:space="preserve">To enable the procurers to establish the correct (best value for money) market price for the R&amp;D service, in which case the presence of </w:t>
      </w:r>
      <w:r w:rsidR="00BA1206" w:rsidRPr="00A836B9">
        <w:rPr>
          <w:rFonts w:eastAsia="Times New Roman" w:cs="Times New Roman"/>
        </w:rPr>
        <w:t>S</w:t>
      </w:r>
      <w:r w:rsidRPr="00A836B9">
        <w:rPr>
          <w:rFonts w:eastAsia="Times New Roman" w:cs="Times New Roman"/>
        </w:rPr>
        <w:t>tate aid can in principle be excluded, the PCP call for tender must be carried out in a competitive and transparent way in line with Treaty principles</w:t>
      </w:r>
      <w:r w:rsidR="00646943" w:rsidRPr="00A836B9">
        <w:rPr>
          <w:rFonts w:eastAsia="Times New Roman" w:cs="Times New Roman"/>
        </w:rPr>
        <w:t>.</w:t>
      </w:r>
      <w:r w:rsidRPr="00A836B9">
        <w:rPr>
          <w:rFonts w:eastAsia="Times New Roman" w:cs="Times New Roman"/>
        </w:rPr>
        <w:t xml:space="preserve"> </w:t>
      </w:r>
      <w:r w:rsidR="00646943" w:rsidRPr="00A836B9">
        <w:rPr>
          <w:rFonts w:eastAsia="Times New Roman" w:cs="Times New Roman"/>
        </w:rPr>
        <w:t>In addition, t</w:t>
      </w:r>
      <w:r w:rsidRPr="00A836B9">
        <w:rPr>
          <w:rFonts w:eastAsia="Times New Roman" w:cs="Times New Roman"/>
        </w:rPr>
        <w:t>he distribution of rights and obligations between procurers and providers (including the allocation of IPR) must be published in the PCP call for tender documents, to obtain a price according to market conditions (and rule out State aid). PCP contracts with providers must contain financial compensation according to market conditions</w:t>
      </w:r>
      <w:r w:rsidRPr="00A836B9">
        <w:rPr>
          <w:rFonts w:eastAsia="Times New Roman" w:cs="Times New Roman"/>
          <w:vertAlign w:val="superscript"/>
        </w:rPr>
        <w:footnoteReference w:id="32"/>
      </w:r>
      <w:r w:rsidRPr="00A836B9">
        <w:rPr>
          <w:rFonts w:eastAsia="Times New Roman" w:cs="Times New Roman"/>
        </w:rPr>
        <w:t xml:space="preserve">, compared to </w:t>
      </w:r>
      <w:r w:rsidR="00646943" w:rsidRPr="00A836B9">
        <w:rPr>
          <w:rFonts w:eastAsia="Times New Roman" w:cs="Times New Roman"/>
        </w:rPr>
        <w:t xml:space="preserve">the </w:t>
      </w:r>
      <w:r w:rsidRPr="00A836B9">
        <w:rPr>
          <w:rFonts w:eastAsia="Times New Roman" w:cs="Times New Roman"/>
        </w:rPr>
        <w:t xml:space="preserve">exclusive development price, for assigning IPR to the providers. </w:t>
      </w:r>
    </w:p>
    <w:p w14:paraId="4166DE34" w14:textId="0D22A7F2" w:rsidR="00C60BD6" w:rsidRPr="00A836B9" w:rsidRDefault="00C60BD6" w:rsidP="490E705E">
      <w:pPr>
        <w:rPr>
          <w:rFonts w:eastAsia="Times New Roman" w:cs="Times New Roman"/>
          <w:b/>
          <w:bCs/>
          <w:i/>
          <w:iCs/>
          <w:u w:val="single"/>
        </w:rPr>
      </w:pPr>
      <w:r w:rsidRPr="00A836B9">
        <w:rPr>
          <w:rFonts w:eastAsia="Times New Roman" w:cs="Times New Roman"/>
          <w:b/>
          <w:bCs/>
          <w:i/>
          <w:iCs/>
          <w:u w:val="single"/>
        </w:rPr>
        <w:t xml:space="preserve">Specific requirements for </w:t>
      </w:r>
      <w:r w:rsidR="00800AE9" w:rsidRPr="00A836B9">
        <w:rPr>
          <w:rFonts w:eastAsia="Times New Roman" w:cs="Times New Roman"/>
          <w:b/>
          <w:bCs/>
          <w:i/>
          <w:iCs/>
          <w:u w:val="single"/>
        </w:rPr>
        <w:t xml:space="preserve">public procurement </w:t>
      </w:r>
      <w:r w:rsidRPr="00A836B9">
        <w:rPr>
          <w:rFonts w:eastAsia="Times New Roman" w:cs="Times New Roman"/>
          <w:b/>
          <w:bCs/>
          <w:i/>
          <w:iCs/>
          <w:u w:val="single"/>
        </w:rPr>
        <w:t xml:space="preserve">of </w:t>
      </w:r>
      <w:r w:rsidR="00800AE9" w:rsidRPr="00A836B9">
        <w:rPr>
          <w:rFonts w:eastAsia="Times New Roman" w:cs="Times New Roman"/>
          <w:b/>
          <w:bCs/>
          <w:i/>
          <w:iCs/>
          <w:u w:val="single"/>
        </w:rPr>
        <w:t xml:space="preserve">innovative </w:t>
      </w:r>
      <w:r w:rsidRPr="00A836B9">
        <w:rPr>
          <w:rFonts w:eastAsia="Times New Roman" w:cs="Times New Roman"/>
          <w:b/>
          <w:bCs/>
          <w:i/>
          <w:iCs/>
          <w:u w:val="single"/>
        </w:rPr>
        <w:t>solutions (PPI)</w:t>
      </w:r>
    </w:p>
    <w:p w14:paraId="22674DE1" w14:textId="77777777" w:rsidR="00C60BD6" w:rsidRPr="00A836B9" w:rsidRDefault="00C60BD6" w:rsidP="490E705E">
      <w:pPr>
        <w:rPr>
          <w:rFonts w:eastAsia="Times New Roman" w:cs="Times New Roman"/>
          <w:i/>
          <w:iCs/>
        </w:rPr>
      </w:pPr>
      <w:r w:rsidRPr="00A836B9">
        <w:rPr>
          <w:rFonts w:eastAsia="Times New Roman" w:cs="Times New Roman"/>
          <w:i/>
          <w:iCs/>
        </w:rPr>
        <w:t>Definition</w:t>
      </w:r>
    </w:p>
    <w:p w14:paraId="6C5629DC" w14:textId="5188854F" w:rsidR="00646943" w:rsidRPr="00A836B9" w:rsidRDefault="00C60BD6" w:rsidP="490E705E">
      <w:pPr>
        <w:rPr>
          <w:rFonts w:eastAsia="Times New Roman" w:cs="Times New Roman"/>
        </w:rPr>
      </w:pPr>
      <w:r w:rsidRPr="00A836B9">
        <w:rPr>
          <w:rFonts w:eastAsia="Times New Roman" w:cs="Times New Roman"/>
        </w:rPr>
        <w:t xml:space="preserve">PPI must comply with the </w:t>
      </w:r>
      <w:r w:rsidR="00BA1206" w:rsidRPr="00A836B9">
        <w:rPr>
          <w:rFonts w:eastAsia="Times New Roman" w:cs="Times New Roman"/>
        </w:rPr>
        <w:t xml:space="preserve">relevant </w:t>
      </w:r>
      <w:r w:rsidRPr="00A836B9">
        <w:rPr>
          <w:rFonts w:eastAsia="Times New Roman" w:cs="Times New Roman"/>
        </w:rPr>
        <w:t>Horizon Europe definitions</w:t>
      </w:r>
      <w:r w:rsidR="00BA1206" w:rsidRPr="00A836B9">
        <w:rPr>
          <w:rFonts w:eastAsia="Times New Roman" w:cs="Times New Roman"/>
        </w:rPr>
        <w:t>.</w:t>
      </w:r>
      <w:r w:rsidRPr="00A836B9">
        <w:rPr>
          <w:rFonts w:eastAsia="Times New Roman" w:cs="Times New Roman"/>
        </w:rPr>
        <w:t xml:space="preserve"> </w:t>
      </w:r>
    </w:p>
    <w:p w14:paraId="7023742C" w14:textId="7D6F1BE9" w:rsidR="00C60BD6" w:rsidRPr="00A836B9" w:rsidRDefault="00646943" w:rsidP="490E705E">
      <w:pPr>
        <w:rPr>
          <w:rFonts w:eastAsia="Times New Roman" w:cs="Times New Roman"/>
        </w:rPr>
      </w:pPr>
      <w:r w:rsidRPr="00A836B9">
        <w:rPr>
          <w:rFonts w:eastAsia="Times New Roman" w:cs="Times New Roman"/>
          <w:i/>
          <w:iCs/>
        </w:rPr>
        <w:t>‘</w:t>
      </w:r>
      <w:r w:rsidR="00C60BD6" w:rsidRPr="00A836B9">
        <w:rPr>
          <w:rFonts w:eastAsia="Times New Roman" w:cs="Times New Roman"/>
          <w:i/>
          <w:iCs/>
        </w:rPr>
        <w:t>Public procurement of innovative solutions (PPI)</w:t>
      </w:r>
      <w:r w:rsidRPr="00A836B9">
        <w:rPr>
          <w:rFonts w:eastAsia="Times New Roman" w:cs="Times New Roman"/>
          <w:i/>
          <w:iCs/>
        </w:rPr>
        <w:t>’</w:t>
      </w:r>
      <w:r w:rsidR="00C60BD6" w:rsidRPr="00A836B9">
        <w:rPr>
          <w:rFonts w:eastAsia="Times New Roman" w:cs="Times New Roman"/>
        </w:rPr>
        <w:t xml:space="preserve"> means procurement where contracting authorities act as a launch customer </w:t>
      </w:r>
      <w:r w:rsidR="00BA1206" w:rsidRPr="00A836B9">
        <w:rPr>
          <w:rFonts w:eastAsia="Times New Roman" w:cs="Times New Roman"/>
        </w:rPr>
        <w:t>for</w:t>
      </w:r>
      <w:r w:rsidR="00C60BD6" w:rsidRPr="00A836B9">
        <w:rPr>
          <w:rFonts w:eastAsia="Times New Roman" w:cs="Times New Roman"/>
        </w:rPr>
        <w:t xml:space="preserve"> innovative goods or services which are not yet available on a large-scale commercial basis, and may include conformity testing.</w:t>
      </w:r>
    </w:p>
    <w:p w14:paraId="35D140E1" w14:textId="2F06A55C" w:rsidR="00646943" w:rsidRPr="00A836B9" w:rsidRDefault="00646943" w:rsidP="490E705E">
      <w:pPr>
        <w:rPr>
          <w:rFonts w:eastAsia="Times New Roman" w:cs="Times New Roman"/>
        </w:rPr>
      </w:pPr>
      <w:r w:rsidRPr="00A836B9">
        <w:rPr>
          <w:rFonts w:eastAsia="Times New Roman" w:cs="Times New Roman"/>
          <w:i/>
          <w:iCs/>
        </w:rPr>
        <w:t>‘</w:t>
      </w:r>
      <w:r w:rsidR="00C60BD6" w:rsidRPr="00A836B9">
        <w:rPr>
          <w:rFonts w:eastAsia="Times New Roman" w:cs="Times New Roman"/>
          <w:i/>
          <w:iCs/>
        </w:rPr>
        <w:t>Launch customers</w:t>
      </w:r>
      <w:r w:rsidRPr="00A836B9">
        <w:rPr>
          <w:rFonts w:eastAsia="Times New Roman" w:cs="Times New Roman"/>
          <w:i/>
          <w:iCs/>
        </w:rPr>
        <w:t>’</w:t>
      </w:r>
      <w:r w:rsidR="00C60BD6" w:rsidRPr="00A836B9">
        <w:rPr>
          <w:rFonts w:eastAsia="Times New Roman" w:cs="Times New Roman"/>
        </w:rPr>
        <w:t>, also called early adopters, refer to the first 20% of customers on the EU</w:t>
      </w:r>
      <w:r w:rsidR="00BA1206" w:rsidRPr="00A836B9">
        <w:rPr>
          <w:rFonts w:eastAsia="Times New Roman" w:cs="Times New Roman"/>
        </w:rPr>
        <w:t>’s</w:t>
      </w:r>
      <w:r w:rsidR="00C60BD6" w:rsidRPr="00A836B9">
        <w:rPr>
          <w:rFonts w:eastAsia="Times New Roman" w:cs="Times New Roman"/>
        </w:rPr>
        <w:t xml:space="preserve"> </w:t>
      </w:r>
      <w:r w:rsidR="00BA1206" w:rsidRPr="00A836B9">
        <w:rPr>
          <w:rFonts w:eastAsia="Times New Roman" w:cs="Times New Roman"/>
        </w:rPr>
        <w:t>i</w:t>
      </w:r>
      <w:r w:rsidR="00C60BD6" w:rsidRPr="00A836B9">
        <w:rPr>
          <w:rFonts w:eastAsia="Times New Roman" w:cs="Times New Roman"/>
        </w:rPr>
        <w:t xml:space="preserve">nternal </w:t>
      </w:r>
      <w:r w:rsidR="00BA1206" w:rsidRPr="00A836B9">
        <w:rPr>
          <w:rFonts w:eastAsia="Times New Roman" w:cs="Times New Roman"/>
        </w:rPr>
        <w:t>m</w:t>
      </w:r>
      <w:r w:rsidR="00C60BD6" w:rsidRPr="00A836B9">
        <w:rPr>
          <w:rFonts w:eastAsia="Times New Roman" w:cs="Times New Roman"/>
        </w:rPr>
        <w:t>arket that buy innovative solutions. The solutions have to be new to the procurers in the project, the procurers</w:t>
      </w:r>
      <w:r w:rsidR="00BA1206" w:rsidRPr="00A836B9">
        <w:rPr>
          <w:rFonts w:eastAsia="Times New Roman" w:cs="Times New Roman"/>
        </w:rPr>
        <w:t>’</w:t>
      </w:r>
      <w:r w:rsidR="00C60BD6" w:rsidRPr="00A836B9">
        <w:rPr>
          <w:rFonts w:eastAsia="Times New Roman" w:cs="Times New Roman"/>
        </w:rPr>
        <w:t xml:space="preserve"> market segment or new to the EU</w:t>
      </w:r>
      <w:r w:rsidR="000D6120" w:rsidRPr="00A836B9">
        <w:rPr>
          <w:rFonts w:eastAsia="Times New Roman" w:cs="Times New Roman"/>
        </w:rPr>
        <w:t>’s</w:t>
      </w:r>
      <w:r w:rsidR="00C60BD6" w:rsidRPr="00A836B9">
        <w:rPr>
          <w:rFonts w:eastAsia="Times New Roman" w:cs="Times New Roman"/>
        </w:rPr>
        <w:t xml:space="preserve"> </w:t>
      </w:r>
      <w:r w:rsidR="000D6120" w:rsidRPr="00A836B9">
        <w:rPr>
          <w:rFonts w:eastAsia="Times New Roman" w:cs="Times New Roman"/>
        </w:rPr>
        <w:t>i</w:t>
      </w:r>
      <w:r w:rsidR="00C60BD6" w:rsidRPr="00A836B9">
        <w:rPr>
          <w:rFonts w:eastAsia="Times New Roman" w:cs="Times New Roman"/>
        </w:rPr>
        <w:t xml:space="preserve">nternal </w:t>
      </w:r>
      <w:r w:rsidR="000D6120" w:rsidRPr="00A836B9">
        <w:rPr>
          <w:rFonts w:eastAsia="Times New Roman" w:cs="Times New Roman"/>
        </w:rPr>
        <w:t>m</w:t>
      </w:r>
      <w:r w:rsidR="00C60BD6" w:rsidRPr="00A836B9">
        <w:rPr>
          <w:rFonts w:eastAsia="Times New Roman" w:cs="Times New Roman"/>
        </w:rPr>
        <w:t xml:space="preserve">arket, and relevant to procurers in other Member States and/or Associated Countries. </w:t>
      </w:r>
    </w:p>
    <w:p w14:paraId="1B2CA81C" w14:textId="54E51832" w:rsidR="00C60BD6" w:rsidRPr="00A836B9" w:rsidRDefault="00646943" w:rsidP="490E705E">
      <w:pPr>
        <w:rPr>
          <w:rFonts w:eastAsia="Times New Roman" w:cs="Times New Roman"/>
        </w:rPr>
      </w:pPr>
      <w:r w:rsidRPr="00A836B9">
        <w:rPr>
          <w:rFonts w:eastAsia="Times New Roman" w:cs="Times New Roman"/>
          <w:i/>
          <w:iCs/>
        </w:rPr>
        <w:t>‘</w:t>
      </w:r>
      <w:r w:rsidR="00C60BD6" w:rsidRPr="00A836B9">
        <w:rPr>
          <w:rFonts w:eastAsia="Times New Roman" w:cs="Times New Roman"/>
          <w:i/>
          <w:iCs/>
        </w:rPr>
        <w:t>Innovative solutions</w:t>
      </w:r>
      <w:r w:rsidRPr="00A836B9">
        <w:rPr>
          <w:rFonts w:eastAsia="Times New Roman" w:cs="Times New Roman"/>
          <w:i/>
          <w:iCs/>
        </w:rPr>
        <w:t>’</w:t>
      </w:r>
      <w:r w:rsidR="00C60BD6" w:rsidRPr="00A836B9">
        <w:rPr>
          <w:rFonts w:eastAsia="Times New Roman" w:cs="Times New Roman"/>
        </w:rPr>
        <w:t xml:space="preserve"> are new or significantly improved products, services or processes that have already been (partially) demonstrated on a small scale, and may be nearly or already </w:t>
      </w:r>
      <w:r w:rsidR="000D6120" w:rsidRPr="00A836B9">
        <w:rPr>
          <w:rFonts w:eastAsia="Times New Roman" w:cs="Times New Roman"/>
        </w:rPr>
        <w:t xml:space="preserve">available </w:t>
      </w:r>
      <w:r w:rsidR="00C60BD6" w:rsidRPr="00A836B9">
        <w:rPr>
          <w:rFonts w:eastAsia="Times New Roman" w:cs="Times New Roman"/>
        </w:rPr>
        <w:t>in small quantit</w:t>
      </w:r>
      <w:r w:rsidR="000D6120" w:rsidRPr="00A836B9">
        <w:rPr>
          <w:rFonts w:eastAsia="Times New Roman" w:cs="Times New Roman"/>
        </w:rPr>
        <w:t>ies</w:t>
      </w:r>
      <w:r w:rsidR="00C60BD6" w:rsidRPr="00A836B9">
        <w:rPr>
          <w:rFonts w:eastAsia="Times New Roman" w:cs="Times New Roman"/>
        </w:rPr>
        <w:t xml:space="preserve"> on the market, but which have not been widely adopted yet. Typically, owing to </w:t>
      </w:r>
      <w:r w:rsidR="000D6120" w:rsidRPr="00A836B9">
        <w:rPr>
          <w:rFonts w:eastAsia="Times New Roman" w:cs="Times New Roman"/>
        </w:rPr>
        <w:t xml:space="preserve">the </w:t>
      </w:r>
      <w:r w:rsidR="00C60BD6" w:rsidRPr="00A836B9">
        <w:rPr>
          <w:rFonts w:eastAsia="Times New Roman" w:cs="Times New Roman"/>
        </w:rPr>
        <w:t>residual risk of market uncertainty, they have not been produced at a large enough scale to meet mass market price/quality requirements. This also includes existing solutions that are to be utilised in a new and innovative way</w:t>
      </w:r>
      <w:r w:rsidR="000D6120" w:rsidRPr="00A836B9">
        <w:rPr>
          <w:rFonts w:eastAsia="Times New Roman" w:cs="Times New Roman"/>
        </w:rPr>
        <w:t>;</w:t>
      </w:r>
      <w:r w:rsidR="00C60BD6" w:rsidRPr="00A836B9">
        <w:rPr>
          <w:rFonts w:eastAsia="Times New Roman" w:cs="Times New Roman"/>
        </w:rPr>
        <w:t xml:space="preserve"> PPI does not include the procurement of R&amp;D.</w:t>
      </w:r>
    </w:p>
    <w:p w14:paraId="695E4A7D" w14:textId="77777777" w:rsidR="00B20CDB" w:rsidRDefault="00B20CDB" w:rsidP="490E705E">
      <w:pPr>
        <w:spacing w:after="120"/>
        <w:rPr>
          <w:rFonts w:eastAsia="Times New Roman" w:cs="Times New Roman"/>
          <w:i/>
          <w:iCs/>
        </w:rPr>
      </w:pPr>
    </w:p>
    <w:p w14:paraId="38ECB1E7" w14:textId="77777777" w:rsidR="00B20CDB" w:rsidRDefault="00B20CDB" w:rsidP="490E705E">
      <w:pPr>
        <w:spacing w:after="120"/>
        <w:rPr>
          <w:rFonts w:eastAsia="Times New Roman" w:cs="Times New Roman"/>
          <w:i/>
          <w:iCs/>
        </w:rPr>
      </w:pPr>
    </w:p>
    <w:p w14:paraId="0B96AF64" w14:textId="77777777" w:rsidR="00B20CDB" w:rsidRDefault="00B20CDB" w:rsidP="490E705E">
      <w:pPr>
        <w:spacing w:after="120"/>
        <w:rPr>
          <w:rFonts w:eastAsia="Times New Roman" w:cs="Times New Roman"/>
          <w:i/>
          <w:iCs/>
        </w:rPr>
      </w:pPr>
    </w:p>
    <w:p w14:paraId="1AA77B2D" w14:textId="77777777" w:rsidR="00B20CDB" w:rsidRDefault="00B20CDB" w:rsidP="490E705E">
      <w:pPr>
        <w:spacing w:after="120"/>
        <w:rPr>
          <w:rFonts w:eastAsia="Times New Roman" w:cs="Times New Roman"/>
          <w:i/>
          <w:iCs/>
        </w:rPr>
      </w:pPr>
    </w:p>
    <w:p w14:paraId="1B39F1D9" w14:textId="32FC787F" w:rsidR="00C60BD6" w:rsidRPr="00A836B9" w:rsidRDefault="00C60BD6" w:rsidP="490E705E">
      <w:pPr>
        <w:spacing w:after="120"/>
        <w:rPr>
          <w:rFonts w:eastAsia="Times New Roman" w:cs="Times New Roman"/>
          <w:i/>
          <w:iCs/>
        </w:rPr>
      </w:pPr>
      <w:r w:rsidRPr="00A836B9">
        <w:rPr>
          <w:rFonts w:eastAsia="Times New Roman" w:cs="Times New Roman"/>
          <w:i/>
          <w:iCs/>
        </w:rPr>
        <w:t xml:space="preserve">Preparation and publication of the open market consultation and call for tender </w:t>
      </w:r>
    </w:p>
    <w:p w14:paraId="18FFC3BD" w14:textId="73DE12EC" w:rsidR="00C60BD6" w:rsidRPr="00A836B9" w:rsidRDefault="00C60BD6" w:rsidP="490E705E">
      <w:pPr>
        <w:rPr>
          <w:rFonts w:eastAsia="Times New Roman" w:cs="Times New Roman"/>
        </w:rPr>
      </w:pPr>
      <w:r w:rsidRPr="00A836B9">
        <w:rPr>
          <w:rFonts w:eastAsia="Times New Roman" w:cs="Times New Roman"/>
        </w:rPr>
        <w:t>Unless the PPI is undertaken as a follow-up to an FP7, Horizon 2020 or Horizon Europe PCP</w:t>
      </w:r>
      <w:r w:rsidRPr="00A836B9">
        <w:rPr>
          <w:rFonts w:eastAsia="Times New Roman" w:cs="Times New Roman"/>
          <w:vertAlign w:val="superscript"/>
        </w:rPr>
        <w:footnoteReference w:id="33"/>
      </w:r>
      <w:r w:rsidRPr="00A836B9">
        <w:rPr>
          <w:rFonts w:eastAsia="Times New Roman" w:cs="Times New Roman"/>
        </w:rPr>
        <w:t>, or unless the situation is a low</w:t>
      </w:r>
      <w:r w:rsidR="00BC1227" w:rsidRPr="00A836B9">
        <w:rPr>
          <w:rFonts w:eastAsia="Times New Roman" w:cs="Times New Roman"/>
        </w:rPr>
        <w:t>-</w:t>
      </w:r>
      <w:r w:rsidRPr="00A836B9">
        <w:rPr>
          <w:rFonts w:eastAsia="Times New Roman" w:cs="Times New Roman"/>
        </w:rPr>
        <w:t xml:space="preserve">value PPI below national procurement thresholds, the following obligations apply: </w:t>
      </w:r>
    </w:p>
    <w:p w14:paraId="2704DC17" w14:textId="0378FC79" w:rsidR="00C60BD6" w:rsidRPr="00A836B9" w:rsidRDefault="00C60BD6" w:rsidP="490E705E">
      <w:pPr>
        <w:numPr>
          <w:ilvl w:val="0"/>
          <w:numId w:val="31"/>
        </w:numPr>
        <w:ind w:left="284" w:hanging="284"/>
        <w:rPr>
          <w:rFonts w:eastAsia="Times New Roman" w:cs="Times New Roman"/>
        </w:rPr>
      </w:pPr>
      <w:r w:rsidRPr="00A836B9">
        <w:rPr>
          <w:rFonts w:eastAsia="Times New Roman" w:cs="Times New Roman"/>
        </w:rPr>
        <w:t xml:space="preserve">To prepare the call for tenders, an open market consultation with potential tenderers and end-users must be held to inform the market well in advance of the upcoming PPI and broach the views of the market </w:t>
      </w:r>
      <w:r w:rsidR="00BC1227" w:rsidRPr="00A836B9">
        <w:rPr>
          <w:rFonts w:eastAsia="Times New Roman" w:cs="Times New Roman"/>
        </w:rPr>
        <w:t>on</w:t>
      </w:r>
      <w:r w:rsidRPr="00A836B9">
        <w:rPr>
          <w:rFonts w:eastAsia="Times New Roman" w:cs="Times New Roman"/>
        </w:rPr>
        <w:t xml:space="preserve"> the </w:t>
      </w:r>
      <w:r w:rsidR="00646943" w:rsidRPr="00A836B9">
        <w:rPr>
          <w:rFonts w:eastAsia="Times New Roman" w:cs="Times New Roman"/>
        </w:rPr>
        <w:t xml:space="preserve">PPI’s </w:t>
      </w:r>
      <w:r w:rsidRPr="00A836B9">
        <w:rPr>
          <w:rFonts w:eastAsia="Times New Roman" w:cs="Times New Roman"/>
        </w:rPr>
        <w:t xml:space="preserve">intended scope. Information retrieved from this consultation about the gap between perceived procurement needs and on-going industry developments must be taken into account in the PPI tender specifications, so that the PPI duly focuses on </w:t>
      </w:r>
      <w:r w:rsidR="00646943" w:rsidRPr="00A836B9">
        <w:rPr>
          <w:rFonts w:eastAsia="Times New Roman" w:cs="Times New Roman"/>
        </w:rPr>
        <w:t>‘</w:t>
      </w:r>
      <w:r w:rsidRPr="00A836B9">
        <w:rPr>
          <w:rFonts w:eastAsia="Times New Roman" w:cs="Times New Roman"/>
        </w:rPr>
        <w:t>early adoption</w:t>
      </w:r>
      <w:r w:rsidR="00646943" w:rsidRPr="00A836B9">
        <w:rPr>
          <w:rFonts w:eastAsia="Times New Roman" w:cs="Times New Roman"/>
        </w:rPr>
        <w:t>’</w:t>
      </w:r>
      <w:r w:rsidRPr="00A836B9">
        <w:rPr>
          <w:rFonts w:eastAsia="Times New Roman" w:cs="Times New Roman"/>
        </w:rPr>
        <w:t xml:space="preserve"> of </w:t>
      </w:r>
      <w:r w:rsidR="00646943" w:rsidRPr="00A836B9">
        <w:rPr>
          <w:rFonts w:eastAsia="Times New Roman" w:cs="Times New Roman"/>
        </w:rPr>
        <w:t>‘</w:t>
      </w:r>
      <w:r w:rsidRPr="00A836B9">
        <w:rPr>
          <w:rFonts w:eastAsia="Times New Roman" w:cs="Times New Roman"/>
        </w:rPr>
        <w:t>innovative</w:t>
      </w:r>
      <w:r w:rsidR="00646943" w:rsidRPr="00A836B9">
        <w:rPr>
          <w:rFonts w:eastAsia="Times New Roman" w:cs="Times New Roman"/>
        </w:rPr>
        <w:t>’</w:t>
      </w:r>
      <w:r w:rsidRPr="00A836B9">
        <w:rPr>
          <w:rFonts w:eastAsia="Times New Roman" w:cs="Times New Roman"/>
        </w:rPr>
        <w:t xml:space="preserve"> solutions. </w:t>
      </w:r>
    </w:p>
    <w:p w14:paraId="007C1B34" w14:textId="537A6B66" w:rsidR="00C60BD6" w:rsidRPr="00A836B9" w:rsidRDefault="00646943" w:rsidP="490E705E">
      <w:pPr>
        <w:numPr>
          <w:ilvl w:val="0"/>
          <w:numId w:val="31"/>
        </w:numPr>
        <w:ind w:left="284" w:hanging="284"/>
        <w:rPr>
          <w:rFonts w:eastAsia="Times New Roman" w:cs="Times New Roman"/>
        </w:rPr>
      </w:pPr>
      <w:r w:rsidRPr="00A836B9">
        <w:rPr>
          <w:rFonts w:eastAsia="Times New Roman" w:cs="Times New Roman"/>
        </w:rPr>
        <w:t>T</w:t>
      </w:r>
      <w:r w:rsidR="00C60BD6" w:rsidRPr="00A836B9">
        <w:rPr>
          <w:rFonts w:eastAsia="Times New Roman" w:cs="Times New Roman"/>
        </w:rPr>
        <w:t>he market must be informed well in advance</w:t>
      </w:r>
      <w:r w:rsidR="00C60BD6" w:rsidRPr="00A836B9">
        <w:rPr>
          <w:rFonts w:eastAsia="Times New Roman" w:cs="Times New Roman"/>
          <w:vertAlign w:val="superscript"/>
        </w:rPr>
        <w:footnoteReference w:id="34"/>
      </w:r>
      <w:r w:rsidR="00C60BD6" w:rsidRPr="00A836B9">
        <w:rPr>
          <w:rFonts w:eastAsia="Times New Roman" w:cs="Times New Roman"/>
        </w:rPr>
        <w:t xml:space="preserve"> of the target date for publishing the PPI call for tenders. Market readiness prior to deployment can be verified through the organisation of e</w:t>
      </w:r>
      <w:r w:rsidR="00C60BD6" w:rsidRPr="00A836B9">
        <w:rPr>
          <w:rFonts w:eastAsia="Times New Roman" w:cs="Times New Roman"/>
          <w:iCs/>
        </w:rPr>
        <w:t>.g. conformity testing, certification or quality labelling of solutions</w:t>
      </w:r>
      <w:r w:rsidR="00C60BD6" w:rsidRPr="00A836B9">
        <w:rPr>
          <w:rFonts w:eastAsia="Times New Roman" w:cs="Times New Roman"/>
        </w:rPr>
        <w:t xml:space="preserve">. </w:t>
      </w:r>
    </w:p>
    <w:p w14:paraId="342C39E3" w14:textId="1A76FFCC" w:rsidR="00C60BD6" w:rsidRPr="00A836B9" w:rsidRDefault="00C60BD6" w:rsidP="490E705E">
      <w:pPr>
        <w:numPr>
          <w:ilvl w:val="0"/>
          <w:numId w:val="31"/>
        </w:numPr>
        <w:ind w:left="284" w:hanging="284"/>
        <w:rPr>
          <w:rFonts w:eastAsia="Times New Roman" w:cs="Times New Roman"/>
        </w:rPr>
      </w:pPr>
      <w:r w:rsidRPr="00A836B9">
        <w:rPr>
          <w:rFonts w:eastAsia="Times New Roman" w:cs="Times New Roman"/>
        </w:rPr>
        <w:t>The PPI contract notices must be published EU-wide in at least English, offers must be accepted and communication with stakeholders must be enabled at all stages in at least English. All offers must be evaluated according to the same objective criteria, regardless of the geographic</w:t>
      </w:r>
      <w:r w:rsidR="00646943" w:rsidRPr="00A836B9">
        <w:rPr>
          <w:rFonts w:eastAsia="Times New Roman" w:cs="Times New Roman"/>
        </w:rPr>
        <w:t>al</w:t>
      </w:r>
      <w:r w:rsidRPr="00A836B9">
        <w:rPr>
          <w:rFonts w:eastAsia="Times New Roman" w:cs="Times New Roman"/>
        </w:rPr>
        <w:t xml:space="preserve"> location, </w:t>
      </w:r>
      <w:r w:rsidR="00646943" w:rsidRPr="00A836B9">
        <w:rPr>
          <w:rFonts w:eastAsia="Times New Roman" w:cs="Times New Roman"/>
        </w:rPr>
        <w:t xml:space="preserve">size of </w:t>
      </w:r>
      <w:r w:rsidRPr="00A836B9">
        <w:rPr>
          <w:rFonts w:eastAsia="Times New Roman" w:cs="Times New Roman"/>
        </w:rPr>
        <w:t xml:space="preserve">organisation or governance structure of the tenderers. </w:t>
      </w:r>
    </w:p>
    <w:p w14:paraId="1FB58273" w14:textId="29121659" w:rsidR="00C60BD6" w:rsidRPr="00A836B9" w:rsidRDefault="00646943" w:rsidP="490E705E">
      <w:pPr>
        <w:numPr>
          <w:ilvl w:val="0"/>
          <w:numId w:val="31"/>
        </w:numPr>
        <w:ind w:left="284" w:hanging="284"/>
        <w:rPr>
          <w:rFonts w:eastAsia="Times New Roman" w:cs="Times New Roman"/>
        </w:rPr>
      </w:pPr>
      <w:r w:rsidRPr="00A836B9">
        <w:rPr>
          <w:rFonts w:eastAsia="Times New Roman" w:cs="Times New Roman"/>
        </w:rPr>
        <w:t>T</w:t>
      </w:r>
      <w:r w:rsidR="00C60BD6" w:rsidRPr="00A836B9">
        <w:rPr>
          <w:rFonts w:eastAsia="Times New Roman" w:cs="Times New Roman"/>
        </w:rPr>
        <w:t>he prior information notices for the open market consultation, early announcements of the expected publication date of the PPI call for tender, and the PPI contract notice must be promoted and advertised widely</w:t>
      </w:r>
      <w:r w:rsidRPr="00A836B9">
        <w:rPr>
          <w:rFonts w:eastAsia="Times New Roman" w:cs="Times New Roman"/>
        </w:rPr>
        <w:t>,</w:t>
      </w:r>
      <w:r w:rsidR="00C60BD6" w:rsidRPr="00A836B9">
        <w:rPr>
          <w:rFonts w:eastAsia="Times New Roman" w:cs="Times New Roman"/>
        </w:rPr>
        <w:t xml:space="preserve"> using Horizon Europe </w:t>
      </w:r>
      <w:r w:rsidRPr="00A836B9">
        <w:rPr>
          <w:rFonts w:eastAsia="Times New Roman" w:cs="Times New Roman"/>
        </w:rPr>
        <w:t>i</w:t>
      </w:r>
      <w:r w:rsidR="00C60BD6" w:rsidRPr="00A836B9">
        <w:rPr>
          <w:rFonts w:eastAsia="Times New Roman" w:cs="Times New Roman"/>
        </w:rPr>
        <w:t xml:space="preserve">nternet sites and </w:t>
      </w:r>
      <w:r w:rsidR="00BC1227" w:rsidRPr="00A836B9">
        <w:rPr>
          <w:rFonts w:eastAsia="Times New Roman" w:cs="Times New Roman"/>
        </w:rPr>
        <w:t>n</w:t>
      </w:r>
      <w:r w:rsidR="00C60BD6" w:rsidRPr="00A836B9">
        <w:rPr>
          <w:rFonts w:eastAsia="Times New Roman" w:cs="Times New Roman"/>
        </w:rPr>
        <w:t xml:space="preserve">ational </w:t>
      </w:r>
      <w:r w:rsidR="00BC1227" w:rsidRPr="00A836B9">
        <w:rPr>
          <w:rFonts w:eastAsia="Times New Roman" w:cs="Times New Roman"/>
        </w:rPr>
        <w:t>c</w:t>
      </w:r>
      <w:r w:rsidR="00C60BD6" w:rsidRPr="00A836B9">
        <w:rPr>
          <w:rFonts w:eastAsia="Times New Roman" w:cs="Times New Roman"/>
        </w:rPr>
        <w:t xml:space="preserve">ontact </w:t>
      </w:r>
      <w:r w:rsidR="00BC1227" w:rsidRPr="00A836B9">
        <w:rPr>
          <w:rFonts w:eastAsia="Times New Roman" w:cs="Times New Roman"/>
        </w:rPr>
        <w:t>p</w:t>
      </w:r>
      <w:r w:rsidR="00C60BD6" w:rsidRPr="00A836B9">
        <w:rPr>
          <w:rFonts w:eastAsia="Times New Roman" w:cs="Times New Roman"/>
        </w:rPr>
        <w:t>oints</w:t>
      </w:r>
      <w:r w:rsidRPr="00A836B9">
        <w:rPr>
          <w:rFonts w:eastAsia="Times New Roman" w:cs="Times New Roman"/>
        </w:rPr>
        <w:t xml:space="preserve"> in particular</w:t>
      </w:r>
      <w:r w:rsidR="00C60BD6" w:rsidRPr="00A836B9">
        <w:rPr>
          <w:rFonts w:eastAsia="Times New Roman" w:cs="Times New Roman"/>
        </w:rPr>
        <w:t xml:space="preserve">. The Commission must be informed at least 5 days before the expected date of publication of the PIN for the open market consultation and 30 days before the expected date of publication of the PPI contract notice. The PPI call for tenders must remain open for at least 60 days. </w:t>
      </w:r>
    </w:p>
    <w:p w14:paraId="115A319C" w14:textId="54E6DC2E" w:rsidR="00C60BD6" w:rsidRPr="00A836B9" w:rsidRDefault="00C60BD6" w:rsidP="490E705E">
      <w:pPr>
        <w:spacing w:after="120"/>
        <w:rPr>
          <w:rFonts w:eastAsia="Times New Roman" w:cs="Times New Roman"/>
          <w:i/>
          <w:iCs/>
        </w:rPr>
      </w:pPr>
      <w:r w:rsidRPr="00A836B9">
        <w:rPr>
          <w:rFonts w:eastAsia="Times New Roman" w:cs="Times New Roman"/>
          <w:i/>
          <w:iCs/>
        </w:rPr>
        <w:t xml:space="preserve">Tender </w:t>
      </w:r>
      <w:r w:rsidR="00646943" w:rsidRPr="00A836B9">
        <w:rPr>
          <w:rFonts w:eastAsia="Times New Roman" w:cs="Times New Roman"/>
          <w:i/>
          <w:iCs/>
        </w:rPr>
        <w:t>d</w:t>
      </w:r>
      <w:r w:rsidRPr="00A836B9">
        <w:rPr>
          <w:rFonts w:eastAsia="Times New Roman" w:cs="Times New Roman"/>
          <w:i/>
          <w:iCs/>
        </w:rPr>
        <w:t>ocumentation, procurement and implementation</w:t>
      </w:r>
      <w:r w:rsidR="00BC1227" w:rsidRPr="00A836B9">
        <w:rPr>
          <w:rFonts w:eastAsia="Times New Roman" w:cs="Times New Roman"/>
          <w:i/>
          <w:iCs/>
        </w:rPr>
        <w:t xml:space="preserve"> of the contract</w:t>
      </w:r>
    </w:p>
    <w:p w14:paraId="4C2DF5DD" w14:textId="3799B497" w:rsidR="00C60BD6" w:rsidRPr="00A836B9" w:rsidRDefault="00C60BD6" w:rsidP="490E705E">
      <w:pPr>
        <w:rPr>
          <w:rFonts w:eastAsia="Times New Roman" w:cs="Times New Roman"/>
        </w:rPr>
      </w:pPr>
      <w:r w:rsidRPr="00A836B9">
        <w:rPr>
          <w:rFonts w:eastAsia="Times New Roman" w:cs="Times New Roman"/>
        </w:rPr>
        <w:t xml:space="preserve">Procurement procedures covered by the EU public procurement directives that do not involve procurement of R&amp;D can be used. Restricted procedures with shortened timeframes for </w:t>
      </w:r>
      <w:r w:rsidR="00BC1227" w:rsidRPr="00A836B9">
        <w:rPr>
          <w:rFonts w:eastAsia="Times New Roman" w:cs="Times New Roman"/>
        </w:rPr>
        <w:t xml:space="preserve">the </w:t>
      </w:r>
      <w:r w:rsidRPr="00A836B9">
        <w:rPr>
          <w:rFonts w:eastAsia="Times New Roman" w:cs="Times New Roman"/>
        </w:rPr>
        <w:t xml:space="preserve">submission of offers for </w:t>
      </w:r>
      <w:r w:rsidR="00646943" w:rsidRPr="00A836B9">
        <w:rPr>
          <w:rFonts w:eastAsia="Times New Roman" w:cs="Times New Roman"/>
        </w:rPr>
        <w:t xml:space="preserve">reasons of </w:t>
      </w:r>
      <w:r w:rsidRPr="00A836B9">
        <w:rPr>
          <w:rFonts w:eastAsia="Times New Roman" w:cs="Times New Roman"/>
        </w:rPr>
        <w:t xml:space="preserve">urgency must not be used. Framework contracts/agreements with lots can be used. </w:t>
      </w:r>
    </w:p>
    <w:p w14:paraId="1A3E0CB8" w14:textId="1EB1E391" w:rsidR="00C60BD6" w:rsidRPr="00A836B9" w:rsidRDefault="00C60BD6" w:rsidP="490E705E">
      <w:pPr>
        <w:rPr>
          <w:rFonts w:eastAsia="Times New Roman" w:cs="Times New Roman"/>
        </w:rPr>
      </w:pPr>
      <w:r w:rsidRPr="00A836B9">
        <w:rPr>
          <w:rFonts w:eastAsia="Times New Roman" w:cs="Times New Roman"/>
        </w:rPr>
        <w:t xml:space="preserve">For PPI implemented by a group of procurers, the specific contracts for procuring specific quantities of goods/services for each procurer can be awarded and the selected tenderers can either all </w:t>
      </w:r>
      <w:r w:rsidR="00BC1227" w:rsidRPr="00A836B9">
        <w:rPr>
          <w:rFonts w:eastAsia="Times New Roman" w:cs="Times New Roman"/>
        </w:rPr>
        <w:t xml:space="preserve">be paid </w:t>
      </w:r>
      <w:r w:rsidRPr="00A836B9">
        <w:rPr>
          <w:rFonts w:eastAsia="Times New Roman" w:cs="Times New Roman"/>
        </w:rPr>
        <w:t>by the lead procurer, or by each procurer in the buyers</w:t>
      </w:r>
      <w:r w:rsidR="00F31F5B" w:rsidRPr="00A836B9">
        <w:rPr>
          <w:rFonts w:eastAsia="Times New Roman" w:cs="Times New Roman"/>
        </w:rPr>
        <w:t>’</w:t>
      </w:r>
      <w:r w:rsidRPr="00A836B9">
        <w:rPr>
          <w:rFonts w:eastAsia="Times New Roman" w:cs="Times New Roman"/>
        </w:rPr>
        <w:t xml:space="preserve"> group individually</w:t>
      </w:r>
      <w:r w:rsidR="00BC1227" w:rsidRPr="00A836B9">
        <w:rPr>
          <w:rFonts w:eastAsia="Times New Roman" w:cs="Times New Roman"/>
        </w:rPr>
        <w:t>,</w:t>
      </w:r>
      <w:r w:rsidRPr="00A836B9">
        <w:rPr>
          <w:rFonts w:eastAsia="Times New Roman" w:cs="Times New Roman"/>
        </w:rPr>
        <w:t xml:space="preserve"> for their quantity of goods/services procured.</w:t>
      </w:r>
    </w:p>
    <w:p w14:paraId="597AC084" w14:textId="6194B386" w:rsidR="00C60BD6" w:rsidRPr="00A836B9" w:rsidRDefault="00C60BD6" w:rsidP="490E705E">
      <w:pPr>
        <w:rPr>
          <w:rFonts w:eastAsia="Times New Roman" w:cs="Times New Roman"/>
        </w:rPr>
      </w:pPr>
      <w:r w:rsidRPr="00A836B9">
        <w:rPr>
          <w:rFonts w:eastAsia="Times New Roman" w:cs="Times New Roman"/>
        </w:rPr>
        <w:t xml:space="preserve">Procurers must avoid the use of selection criteria based on disproportionate qualification and financial guarantee requirements </w:t>
      </w:r>
      <w:r w:rsidRPr="00A836B9">
        <w:rPr>
          <w:rFonts w:eastAsia="Times New Roman" w:cs="Times New Roman"/>
          <w:iCs/>
        </w:rPr>
        <w:t>(e.g. with regard to prior customer references and minimum turnover)</w:t>
      </w:r>
      <w:r w:rsidRPr="00A836B9">
        <w:rPr>
          <w:rFonts w:eastAsia="Times New Roman" w:cs="Times New Roman"/>
        </w:rPr>
        <w:t xml:space="preserve">. Functional/performance-based specifications must be used to formulate the object of the PPI call for tenders as a problem to be solved, without prescribing a specific approach to be followed. Evaluation of the tenders must be based on best-value-for-money criteria, not just lowest price. </w:t>
      </w:r>
    </w:p>
    <w:p w14:paraId="55386157" w14:textId="20B80242" w:rsidR="00C60BD6" w:rsidRPr="00A836B9" w:rsidRDefault="00C60BD6" w:rsidP="490E705E">
      <w:pPr>
        <w:rPr>
          <w:rFonts w:eastAsia="Times New Roman" w:cs="Times New Roman"/>
        </w:rPr>
      </w:pPr>
      <w:r w:rsidRPr="00A836B9">
        <w:rPr>
          <w:rFonts w:eastAsia="Times New Roman" w:cs="Times New Roman"/>
        </w:rPr>
        <w:t>Procurers must organise their procurement to avoid any conflict</w:t>
      </w:r>
      <w:r w:rsidR="00AA1D4F" w:rsidRPr="00A836B9">
        <w:rPr>
          <w:rFonts w:eastAsia="Times New Roman" w:cs="Times New Roman"/>
        </w:rPr>
        <w:t>s</w:t>
      </w:r>
      <w:r w:rsidRPr="00A836B9">
        <w:rPr>
          <w:rFonts w:eastAsia="Times New Roman" w:cs="Times New Roman"/>
        </w:rPr>
        <w:t xml:space="preserve"> of interest, including in the use of external experts. Potential providers cannot be beneficiaries in an action during which the PPI is planned or undertaken. </w:t>
      </w:r>
    </w:p>
    <w:p w14:paraId="6EFB3B31" w14:textId="4E3B6B01" w:rsidR="00C60BD6" w:rsidRPr="00A836B9" w:rsidRDefault="003D46C3" w:rsidP="490E705E">
      <w:pPr>
        <w:rPr>
          <w:rFonts w:eastAsia="Times New Roman" w:cs="Times New Roman"/>
        </w:rPr>
      </w:pPr>
      <w:r w:rsidRPr="00A836B9">
        <w:rPr>
          <w:rFonts w:eastAsia="Times New Roman" w:cs="Times New Roman"/>
        </w:rPr>
        <w:t>T</w:t>
      </w:r>
      <w:r w:rsidR="00C60BD6" w:rsidRPr="00A836B9">
        <w:rPr>
          <w:rFonts w:eastAsia="Times New Roman" w:cs="Times New Roman"/>
        </w:rPr>
        <w:t xml:space="preserve">o encourage fair and wide exploitation of results, ownership of IPR rights should be assigned to the party generating the IPR, except in duly justified cases </w:t>
      </w:r>
      <w:r w:rsidR="00C60BD6" w:rsidRPr="00A836B9">
        <w:rPr>
          <w:rFonts w:eastAsia="Times New Roman" w:cs="Times New Roman"/>
          <w:iCs/>
        </w:rPr>
        <w:t>(e.g. when that party is not able to exploit them)</w:t>
      </w:r>
      <w:r w:rsidR="00C60BD6" w:rsidRPr="00A836B9">
        <w:rPr>
          <w:rFonts w:eastAsia="Times New Roman" w:cs="Times New Roman"/>
        </w:rPr>
        <w:t xml:space="preserve">. </w:t>
      </w:r>
    </w:p>
    <w:p w14:paraId="371AB8EB" w14:textId="79465B4D" w:rsidR="00C60BD6" w:rsidRPr="00A836B9" w:rsidRDefault="00C60BD6" w:rsidP="490E705E">
      <w:pPr>
        <w:rPr>
          <w:rFonts w:eastAsia="Times New Roman" w:cs="Times New Roman"/>
        </w:rPr>
      </w:pPr>
      <w:r w:rsidRPr="00A836B9">
        <w:rPr>
          <w:rFonts w:eastAsia="Times New Roman" w:cs="Times New Roman"/>
        </w:rPr>
        <w:t>The PPI call for tender must be carried out in a competitive and transparent way in line with Treaty principles</w:t>
      </w:r>
      <w:r w:rsidR="001343DC" w:rsidRPr="00A836B9">
        <w:rPr>
          <w:rFonts w:eastAsia="Times New Roman" w:cs="Times New Roman"/>
        </w:rPr>
        <w:t>.</w:t>
      </w:r>
      <w:r w:rsidRPr="00A836B9">
        <w:rPr>
          <w:rFonts w:eastAsia="Times New Roman" w:cs="Times New Roman"/>
        </w:rPr>
        <w:t xml:space="preserve"> </w:t>
      </w:r>
      <w:r w:rsidR="001343DC" w:rsidRPr="00A836B9">
        <w:rPr>
          <w:rFonts w:eastAsia="Times New Roman" w:cs="Times New Roman"/>
        </w:rPr>
        <w:t>T</w:t>
      </w:r>
      <w:r w:rsidRPr="00A836B9">
        <w:rPr>
          <w:rFonts w:eastAsia="Times New Roman" w:cs="Times New Roman"/>
        </w:rPr>
        <w:t xml:space="preserve">he distribution of rights and obligations between procurers and providers (including the allocation of IPR) must be published in the PPI call for tender documents, to obtain a price according to market conditions (and rule out State aid). </w:t>
      </w:r>
    </w:p>
    <w:p w14:paraId="1734DB6D" w14:textId="77777777" w:rsidR="00C60BD6" w:rsidRPr="00A836B9" w:rsidRDefault="00C60BD6" w:rsidP="00C60BD6">
      <w:pPr>
        <w:ind w:firstLine="720"/>
        <w:rPr>
          <w:szCs w:val="24"/>
        </w:rPr>
      </w:pPr>
    </w:p>
    <w:p w14:paraId="2091B532" w14:textId="4CA00D5E" w:rsidR="00EB64BE" w:rsidRPr="00A836B9" w:rsidRDefault="00EB64BE" w:rsidP="00C60BD6"/>
    <w:sectPr w:rsidR="00EB64BE" w:rsidRPr="00A836B9">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160A4" w14:textId="77777777" w:rsidR="004746B1" w:rsidRDefault="004746B1" w:rsidP="0082499D">
      <w:pPr>
        <w:spacing w:after="0" w:line="240" w:lineRule="auto"/>
      </w:pPr>
      <w:r>
        <w:separator/>
      </w:r>
    </w:p>
  </w:endnote>
  <w:endnote w:type="continuationSeparator" w:id="0">
    <w:p w14:paraId="2F747B8C" w14:textId="77777777" w:rsidR="004746B1" w:rsidRDefault="004746B1"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charset w:val="00"/>
    <w:family w:val="auto"/>
    <w:pitch w:val="variable"/>
    <w:sig w:usb0="800002EF" w:usb1="1000E0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100E" w14:textId="77777777" w:rsidR="00C968A8" w:rsidRDefault="00C96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39F2" w14:textId="6F5D6518" w:rsidR="004746B1" w:rsidRPr="005E24C6" w:rsidRDefault="004746B1" w:rsidP="490E705E">
    <w:pPr>
      <w:pStyle w:val="FooterStyle"/>
      <w:rPr>
        <w:szCs w:val="20"/>
      </w:rPr>
    </w:pPr>
    <w:r>
      <w:t xml:space="preserve">Part 14 - Page </w:t>
    </w:r>
    <w:r w:rsidRPr="490E705E">
      <w:rPr>
        <w:noProof/>
      </w:rPr>
      <w:fldChar w:fldCharType="begin"/>
    </w:r>
    <w:r w:rsidRPr="005E24C6">
      <w:rPr>
        <w:szCs w:val="20"/>
      </w:rPr>
      <w:instrText xml:space="preserve"> PAGE   \* MERGEFORMAT </w:instrText>
    </w:r>
    <w:r w:rsidRPr="490E705E">
      <w:rPr>
        <w:szCs w:val="20"/>
      </w:rPr>
      <w:fldChar w:fldCharType="separate"/>
    </w:r>
    <w:r w:rsidR="00907736" w:rsidRPr="00907736">
      <w:rPr>
        <w:noProof/>
      </w:rPr>
      <w:t>2</w:t>
    </w:r>
    <w:r w:rsidRPr="490E705E">
      <w:rPr>
        <w:noProof/>
      </w:rPr>
      <w:fldChar w:fldCharType="end"/>
    </w:r>
    <w:r w:rsidRPr="490E705E">
      <w:t xml:space="preserve"> of </w:t>
    </w:r>
    <w:r w:rsidRPr="490E705E">
      <w:rPr>
        <w:noProof/>
      </w:rPr>
      <w:fldChar w:fldCharType="begin"/>
    </w:r>
    <w:r w:rsidRPr="005E24C6">
      <w:rPr>
        <w:szCs w:val="20"/>
      </w:rPr>
      <w:instrText xml:space="preserve"> NUMPAGES   \* MERGEFORMAT </w:instrText>
    </w:r>
    <w:r w:rsidRPr="490E705E">
      <w:rPr>
        <w:szCs w:val="20"/>
      </w:rPr>
      <w:fldChar w:fldCharType="separate"/>
    </w:r>
    <w:r w:rsidR="00907736" w:rsidRPr="00907736">
      <w:rPr>
        <w:noProof/>
      </w:rPr>
      <w:t>40</w:t>
    </w:r>
    <w:r w:rsidRPr="490E705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C9C6" w14:textId="77777777" w:rsidR="00C968A8" w:rsidRDefault="00C9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9B122" w14:textId="77777777" w:rsidR="004746B1" w:rsidRDefault="004746B1" w:rsidP="0082499D">
      <w:pPr>
        <w:spacing w:after="0" w:line="240" w:lineRule="auto"/>
      </w:pPr>
      <w:r>
        <w:separator/>
      </w:r>
    </w:p>
  </w:footnote>
  <w:footnote w:type="continuationSeparator" w:id="0">
    <w:p w14:paraId="58B9B336" w14:textId="77777777" w:rsidR="004746B1" w:rsidRDefault="004746B1" w:rsidP="0082499D">
      <w:pPr>
        <w:spacing w:after="0" w:line="240" w:lineRule="auto"/>
      </w:pPr>
      <w:r>
        <w:continuationSeparator/>
      </w:r>
    </w:p>
  </w:footnote>
  <w:footnote w:id="1">
    <w:p w14:paraId="07B2C031" w14:textId="2CB9DA7C" w:rsidR="004746B1" w:rsidRPr="00C80B4C" w:rsidRDefault="004746B1" w:rsidP="00C60BD6">
      <w:pPr>
        <w:pStyle w:val="FootnoteText"/>
      </w:pPr>
      <w:r>
        <w:rPr>
          <w:rStyle w:val="FootnoteReference"/>
        </w:rPr>
        <w:footnoteRef/>
      </w:r>
      <w:r>
        <w:t xml:space="preserve"> ‘</w:t>
      </w:r>
      <w:r w:rsidRPr="00C80B4C">
        <w:t>International European research organisation</w:t>
      </w:r>
      <w:r>
        <w:t>’</w:t>
      </w:r>
      <w:r w:rsidRPr="00C80B4C">
        <w:t xml:space="preserve"> means an international organisation, the majority of whose members are Member States or Associated Countries, and whose principal objective is to promote scientific and technological cooperation in Europe.</w:t>
      </w:r>
    </w:p>
  </w:footnote>
  <w:footnote w:id="2">
    <w:p w14:paraId="2EF78A82" w14:textId="77777777" w:rsidR="004746B1" w:rsidRPr="00C80B4C" w:rsidRDefault="004746B1" w:rsidP="00C60BD6">
      <w:pPr>
        <w:pStyle w:val="FootnoteText"/>
      </w:pPr>
      <w:r>
        <w:rPr>
          <w:rStyle w:val="FootnoteReference"/>
        </w:rPr>
        <w:footnoteRef/>
      </w:r>
      <w:r>
        <w:t xml:space="preserve"> S</w:t>
      </w:r>
      <w:r w:rsidRPr="00C80B4C">
        <w:t xml:space="preserve">ee Article 197(2)(c) EU Financial Regulation </w:t>
      </w:r>
      <w:hyperlink r:id="rId1" w:history="1">
        <w:r w:rsidRPr="490E705E">
          <w:rPr>
            <w:rStyle w:val="Hyperlink"/>
            <w:lang w:val="en-US"/>
          </w:rPr>
          <w:t>2018/1046</w:t>
        </w:r>
      </w:hyperlink>
      <w:r w:rsidRPr="00C80B4C">
        <w:t>.</w:t>
      </w:r>
    </w:p>
  </w:footnote>
  <w:footnote w:id="3">
    <w:p w14:paraId="69896C46" w14:textId="77777777" w:rsidR="004746B1" w:rsidRPr="00C80B4C" w:rsidRDefault="004746B1" w:rsidP="00C60BD6">
      <w:pPr>
        <w:pStyle w:val="FootnoteText"/>
      </w:pPr>
      <w:r>
        <w:rPr>
          <w:rStyle w:val="FootnoteReference"/>
        </w:rPr>
        <w:footnoteRef/>
      </w:r>
      <w:r>
        <w:t xml:space="preserve"> S</w:t>
      </w:r>
      <w:r w:rsidRPr="00C80B4C">
        <w:t xml:space="preserve">ee Article 187 EU Financial Regulation </w:t>
      </w:r>
      <w:hyperlink r:id="rId2" w:history="1">
        <w:r w:rsidRPr="490E705E">
          <w:rPr>
            <w:rStyle w:val="Hyperlink"/>
            <w:lang w:val="en-US"/>
          </w:rPr>
          <w:t>2018/1046</w:t>
        </w:r>
      </w:hyperlink>
      <w:r w:rsidRPr="00C80B4C">
        <w:t>.</w:t>
      </w:r>
    </w:p>
  </w:footnote>
  <w:footnote w:id="4">
    <w:p w14:paraId="580BAB78" w14:textId="77777777" w:rsidR="004746B1" w:rsidRPr="001E63BC" w:rsidRDefault="004746B1" w:rsidP="00C60BD6">
      <w:pPr>
        <w:pStyle w:val="FootnoteText"/>
      </w:pPr>
      <w:r>
        <w:rPr>
          <w:rStyle w:val="FootnoteReference"/>
        </w:rPr>
        <w:footnoteRef/>
      </w:r>
      <w:r>
        <w:t xml:space="preserve"> </w:t>
      </w:r>
      <w:r w:rsidRPr="001E63BC">
        <w:t xml:space="preserve">See Article 197(2)(c) EU Financial Regulation </w:t>
      </w:r>
      <w:hyperlink r:id="rId3" w:history="1">
        <w:r w:rsidRPr="490E705E">
          <w:rPr>
            <w:rStyle w:val="Hyperlink"/>
            <w:lang w:val="en-US"/>
          </w:rPr>
          <w:t>2018/1046</w:t>
        </w:r>
      </w:hyperlink>
      <w:r w:rsidRPr="001E63BC">
        <w:t>.</w:t>
      </w:r>
    </w:p>
  </w:footnote>
  <w:footnote w:id="5">
    <w:p w14:paraId="52BE05F7" w14:textId="77777777" w:rsidR="004746B1" w:rsidRPr="001E63BC" w:rsidRDefault="004746B1" w:rsidP="00C60BD6">
      <w:pPr>
        <w:pStyle w:val="FootnoteText"/>
      </w:pPr>
      <w:r>
        <w:rPr>
          <w:rStyle w:val="FootnoteReference"/>
        </w:rPr>
        <w:footnoteRef/>
      </w:r>
      <w:r>
        <w:t xml:space="preserve"> S</w:t>
      </w:r>
      <w:r w:rsidRPr="001E63BC">
        <w:t xml:space="preserve">ee Articles 187(2) and 197(2)(c) EU Financial Regulation </w:t>
      </w:r>
      <w:hyperlink r:id="rId4" w:history="1">
        <w:r w:rsidRPr="490E705E">
          <w:rPr>
            <w:rStyle w:val="Hyperlink"/>
            <w:lang w:val="en-US"/>
          </w:rPr>
          <w:t>2018/1046</w:t>
        </w:r>
      </w:hyperlink>
      <w:r>
        <w:t>.</w:t>
      </w:r>
    </w:p>
  </w:footnote>
  <w:footnote w:id="6">
    <w:p w14:paraId="5EF7B9BB" w14:textId="77777777" w:rsidR="004746B1" w:rsidRPr="001E63BC" w:rsidRDefault="004746B1" w:rsidP="00C60BD6">
      <w:pPr>
        <w:pStyle w:val="FootnoteText"/>
      </w:pPr>
      <w:r>
        <w:rPr>
          <w:rStyle w:val="FootnoteReference"/>
        </w:rPr>
        <w:footnoteRef/>
      </w:r>
      <w:r>
        <w:t xml:space="preserve"> </w:t>
      </w:r>
      <w:r w:rsidRPr="001E63BC">
        <w:t xml:space="preserve">Please note that the EU Official Journal contains the official list and, in case of conflict, its content prevails over that of the </w:t>
      </w:r>
      <w:hyperlink r:id="rId5" w:history="1">
        <w:r w:rsidRPr="001E63BC">
          <w:rPr>
            <w:rStyle w:val="Hyperlink"/>
          </w:rPr>
          <w:t>EU Sanctions Map</w:t>
        </w:r>
      </w:hyperlink>
      <w:r w:rsidRPr="001E63BC">
        <w:t>.</w:t>
      </w:r>
    </w:p>
  </w:footnote>
  <w:footnote w:id="7">
    <w:p w14:paraId="0A2D4AEB" w14:textId="23FA9B23" w:rsidR="004746B1" w:rsidRPr="00924847" w:rsidRDefault="004746B1">
      <w:pPr>
        <w:pStyle w:val="FootnoteText"/>
      </w:pPr>
      <w:r>
        <w:rPr>
          <w:rStyle w:val="FootnoteReference"/>
        </w:rPr>
        <w:footnoteRef/>
      </w:r>
      <w:r>
        <w:t xml:space="preserve"> </w:t>
      </w:r>
      <w:r w:rsidRPr="00924847">
        <w:t xml:space="preserve">Given that the EU does not recognise the illegal annexation of Crimea and Sevastopol, legal persons established in the Autonomous Republic of Crimea or the city of Sevastopol are not eligible to participate in any capacity. This criterion also applies in cases where the action involves financial support given by grant beneficiaries to third parties established in the Autonomous Republic of Crimea or the city of Sevastopol (in accordance with Article 204 of the Financial Regulation No 2018/1046). Should the illegal annexation of the Autonomous Republic of Crimea and the City of Sevastopol end, this </w:t>
      </w:r>
      <w:r>
        <w:t>w</w:t>
      </w:r>
      <w:r w:rsidRPr="00924847">
        <w:t xml:space="preserve">ork </w:t>
      </w:r>
      <w:r>
        <w:t>p</w:t>
      </w:r>
      <w:r w:rsidRPr="00924847">
        <w:t>rogramme will be revised</w:t>
      </w:r>
      <w:r>
        <w:t>.</w:t>
      </w:r>
    </w:p>
  </w:footnote>
  <w:footnote w:id="8">
    <w:p w14:paraId="26DF68E4" w14:textId="77777777" w:rsidR="00F92BF7" w:rsidRPr="0068754A" w:rsidRDefault="00F92BF7" w:rsidP="00F92BF7">
      <w:pPr>
        <w:pStyle w:val="FootnoteText"/>
      </w:pPr>
      <w:r>
        <w:rPr>
          <w:rStyle w:val="FootnoteReference"/>
        </w:rPr>
        <w:footnoteRef/>
      </w:r>
      <w:r>
        <w:t xml:space="preserve"> </w:t>
      </w:r>
      <w:r w:rsidRPr="001E63BC">
        <w:t xml:space="preserve">Commission guidelines No </w:t>
      </w:r>
      <w:hyperlink r:id="rId6" w:history="1">
        <w:r w:rsidRPr="001E63BC">
          <w:rPr>
            <w:rStyle w:val="Hyperlink"/>
          </w:rPr>
          <w:t>2013/C 205/05</w:t>
        </w:r>
      </w:hyperlink>
      <w:r w:rsidRPr="001E63BC">
        <w:t xml:space="preserve"> on the eligibility of Israeli entities and their activities in the territories occupied by Israel since June 1967 for grants, prizes and financial instruments funded by the EU from 2014 onwards (OJEU C 205 of 19.07.2013, pp. 9-11).</w:t>
      </w:r>
    </w:p>
  </w:footnote>
  <w:footnote w:id="9">
    <w:p w14:paraId="663D3441" w14:textId="0E5E8291" w:rsidR="004746B1" w:rsidRPr="004E3001" w:rsidRDefault="004746B1">
      <w:pPr>
        <w:pStyle w:val="FootnoteText"/>
      </w:pPr>
      <w:r>
        <w:rPr>
          <w:rStyle w:val="FootnoteReference"/>
        </w:rPr>
        <w:footnoteRef/>
      </w:r>
      <w:r>
        <w:t xml:space="preserve"> </w:t>
      </w:r>
      <w:r w:rsidRPr="004E3001">
        <w:t>Entities from Overseas Countries and Territories (OCT</w:t>
      </w:r>
      <w:r>
        <w:t>s</w:t>
      </w:r>
      <w:r w:rsidRPr="004E3001">
        <w:t>) are eligible for funding under the same conditions as entities from the Member States to which the OCT in question is linked</w:t>
      </w:r>
      <w:r>
        <w:t xml:space="preserve">. </w:t>
      </w:r>
      <w:r w:rsidRPr="004E3001">
        <w:t xml:space="preserve">See the </w:t>
      </w:r>
      <w:hyperlink r:id="rId7" w:history="1">
        <w:r w:rsidRPr="003569E8">
          <w:rPr>
            <w:rStyle w:val="Hyperlink"/>
          </w:rPr>
          <w:t>Horizon Europe Programme Guide</w:t>
        </w:r>
      </w:hyperlink>
      <w:r w:rsidRPr="004E3001">
        <w:t xml:space="preserve"> for a complete list of </w:t>
      </w:r>
      <w:r>
        <w:t>OCTs</w:t>
      </w:r>
      <w:r w:rsidRPr="004E3001">
        <w:t>.</w:t>
      </w:r>
    </w:p>
  </w:footnote>
  <w:footnote w:id="10">
    <w:p w14:paraId="0A180938" w14:textId="601E4EE7" w:rsidR="004746B1" w:rsidRPr="001E63BC" w:rsidRDefault="004746B1" w:rsidP="00C60BD6">
      <w:pPr>
        <w:pStyle w:val="FootnoteText"/>
      </w:pPr>
      <w:r>
        <w:rPr>
          <w:rStyle w:val="FootnoteReference"/>
        </w:rPr>
        <w:footnoteRef/>
      </w:r>
      <w:r>
        <w:t xml:space="preserve"> </w:t>
      </w:r>
      <w:r w:rsidRPr="00623048">
        <w:t xml:space="preserve">Please see the </w:t>
      </w:r>
      <w:hyperlink r:id="rId8" w:history="1">
        <w:r w:rsidRPr="003569E8">
          <w:rPr>
            <w:rStyle w:val="Hyperlink"/>
          </w:rPr>
          <w:t>Horizon Europe Programme Guide</w:t>
        </w:r>
      </w:hyperlink>
      <w:r>
        <w:t xml:space="preserve"> on the Portal</w:t>
      </w:r>
      <w:r w:rsidRPr="00623048">
        <w:t xml:space="preserve"> for up-to-date information on the current list and </w:t>
      </w:r>
      <w:r>
        <w:t xml:space="preserve">on </w:t>
      </w:r>
      <w:r w:rsidRPr="00623048">
        <w:t>the position for Associated Countries.</w:t>
      </w:r>
    </w:p>
  </w:footnote>
  <w:footnote w:id="11">
    <w:p w14:paraId="572662AA" w14:textId="6009C998" w:rsidR="004746B1" w:rsidRPr="00260328" w:rsidRDefault="004746B1" w:rsidP="00C60BD6">
      <w:pPr>
        <w:pStyle w:val="FootnoteText"/>
      </w:pPr>
      <w:r>
        <w:rPr>
          <w:rStyle w:val="FootnoteReference"/>
        </w:rPr>
        <w:footnoteRef/>
      </w:r>
      <w:r>
        <w:t xml:space="preserve"> See the </w:t>
      </w:r>
      <w:hyperlink r:id="rId9" w:history="1">
        <w:r w:rsidRPr="003569E8">
          <w:rPr>
            <w:rStyle w:val="Hyperlink"/>
          </w:rPr>
          <w:t>Horizon Europe Programme Guide</w:t>
        </w:r>
      </w:hyperlink>
      <w:r w:rsidRPr="000E6A20">
        <w:t xml:space="preserve"> on the Portal</w:t>
      </w:r>
      <w:r>
        <w:t xml:space="preserve"> for a complete list of these countries.</w:t>
      </w:r>
    </w:p>
  </w:footnote>
  <w:footnote w:id="12">
    <w:p w14:paraId="76A3EBDF" w14:textId="22E89DE9" w:rsidR="004746B1" w:rsidRPr="001E63BC" w:rsidRDefault="004746B1" w:rsidP="00C60BD6">
      <w:pPr>
        <w:pStyle w:val="FootnoteText"/>
      </w:pPr>
      <w:r>
        <w:rPr>
          <w:rStyle w:val="FootnoteReference"/>
        </w:rPr>
        <w:footnoteRef/>
      </w:r>
      <w:r>
        <w:t xml:space="preserve"> ‘</w:t>
      </w:r>
      <w:r w:rsidRPr="001E63BC">
        <w:t>Public procurers</w:t>
      </w:r>
      <w:r>
        <w:t>’</w:t>
      </w:r>
      <w:r w:rsidRPr="001E63BC">
        <w:t xml:space="preserve"> are organisations that are contracting authorities or contracting entities as defined in EU public procurement directives 2014/24/EU, 2014/25/EU, and 2009/81/E.</w:t>
      </w:r>
    </w:p>
  </w:footnote>
  <w:footnote w:id="13">
    <w:p w14:paraId="099CBB3B" w14:textId="12A61F40" w:rsidR="004746B1" w:rsidRPr="001E63BC" w:rsidRDefault="004746B1" w:rsidP="00C60BD6">
      <w:pPr>
        <w:pStyle w:val="FootnoteText"/>
      </w:pPr>
      <w:r>
        <w:rPr>
          <w:rStyle w:val="FootnoteReference"/>
        </w:rPr>
        <w:footnoteRef/>
      </w:r>
      <w:r>
        <w:t xml:space="preserve"> ‘</w:t>
      </w:r>
      <w:r w:rsidRPr="001E63BC">
        <w:t>Horizon Europe blended finance</w:t>
      </w:r>
      <w:r>
        <w:t>’</w:t>
      </w:r>
      <w:r w:rsidRPr="001E63BC">
        <w:t xml:space="preserve"> means financial </w:t>
      </w:r>
      <w:r w:rsidRPr="00AE3138">
        <w:t xml:space="preserve">support </w:t>
      </w:r>
      <w:r>
        <w:t>for</w:t>
      </w:r>
      <w:r w:rsidRPr="00AE3138">
        <w:t xml:space="preserve"> </w:t>
      </w:r>
      <w:r w:rsidRPr="001E63BC">
        <w:t xml:space="preserve">innovation and market deployment activities, consisting </w:t>
      </w:r>
      <w:r>
        <w:t>of</w:t>
      </w:r>
      <w:r w:rsidRPr="001E63BC">
        <w:t xml:space="preserve"> a specific combination of a grant or reimbursable advance </w:t>
      </w:r>
      <w:r>
        <w:t>and</w:t>
      </w:r>
      <w:r w:rsidRPr="001E63BC">
        <w:t xml:space="preserve"> an investment in equity or any other repayable form of support.</w:t>
      </w:r>
    </w:p>
  </w:footnote>
  <w:footnote w:id="14">
    <w:p w14:paraId="5CC78B97" w14:textId="77777777" w:rsidR="004746B1" w:rsidRPr="001E63BC" w:rsidRDefault="004746B1" w:rsidP="00C60BD6">
      <w:pPr>
        <w:pStyle w:val="FootnoteText"/>
      </w:pPr>
      <w:r>
        <w:rPr>
          <w:rStyle w:val="FootnoteReference"/>
        </w:rPr>
        <w:footnoteRef/>
      </w:r>
      <w:r>
        <w:t xml:space="preserve"> </w:t>
      </w:r>
      <w:r w:rsidRPr="001E63BC">
        <w:t>See Commission Decision 2015/544/EU, Euratom of 13 March 2015 on the security rules for protecting EU classified information (OJ L 72, 17.3.2015, p. 53.</w:t>
      </w:r>
    </w:p>
  </w:footnote>
  <w:footnote w:id="15">
    <w:p w14:paraId="6E4312CB" w14:textId="77777777" w:rsidR="004746B1" w:rsidRPr="001E63BC" w:rsidRDefault="004746B1" w:rsidP="00C60BD6">
      <w:pPr>
        <w:pStyle w:val="FootnoteText"/>
      </w:pPr>
      <w:r>
        <w:rPr>
          <w:rStyle w:val="FootnoteReference"/>
        </w:rPr>
        <w:footnoteRef/>
      </w:r>
      <w:r>
        <w:t xml:space="preserve"> </w:t>
      </w:r>
      <w:r w:rsidRPr="001E63BC">
        <w:t xml:space="preserve">See Article 136 EU Financial Regulation </w:t>
      </w:r>
      <w:hyperlink r:id="rId10" w:history="1">
        <w:r w:rsidRPr="001E63BC">
          <w:rPr>
            <w:rStyle w:val="Hyperlink"/>
          </w:rPr>
          <w:t>2018/1046</w:t>
        </w:r>
      </w:hyperlink>
      <w:r w:rsidRPr="001E63BC">
        <w:t>.</w:t>
      </w:r>
    </w:p>
  </w:footnote>
  <w:footnote w:id="16">
    <w:p w14:paraId="1E34E804" w14:textId="77777777" w:rsidR="004746B1" w:rsidRPr="001E63BC" w:rsidRDefault="004746B1" w:rsidP="00C60BD6">
      <w:pPr>
        <w:pStyle w:val="FootnoteText"/>
      </w:pPr>
      <w:r>
        <w:rPr>
          <w:rStyle w:val="FootnoteReference"/>
        </w:rPr>
        <w:footnoteRef/>
      </w:r>
      <w:r>
        <w:t xml:space="preserve"> </w:t>
      </w:r>
      <w:r w:rsidRPr="001E63BC">
        <w:t xml:space="preserve">See Articles 136 and 141 EU Financial Regulation </w:t>
      </w:r>
      <w:hyperlink r:id="rId11" w:history="1">
        <w:r w:rsidRPr="001E63BC">
          <w:rPr>
            <w:rStyle w:val="Hyperlink"/>
          </w:rPr>
          <w:t>2018/1046</w:t>
        </w:r>
      </w:hyperlink>
      <w:r w:rsidRPr="001E63BC">
        <w:t>.</w:t>
      </w:r>
    </w:p>
    <w:p w14:paraId="6EB59514" w14:textId="77777777" w:rsidR="004746B1" w:rsidRPr="001E63BC" w:rsidRDefault="004746B1" w:rsidP="00C60BD6">
      <w:pPr>
        <w:pStyle w:val="FootnoteText"/>
      </w:pPr>
    </w:p>
  </w:footnote>
  <w:footnote w:id="17">
    <w:p w14:paraId="4724FFE0" w14:textId="77777777" w:rsidR="004746B1" w:rsidRPr="001E63BC" w:rsidRDefault="004746B1" w:rsidP="00C60BD6">
      <w:pPr>
        <w:pStyle w:val="FootnoteText"/>
      </w:pPr>
      <w:r>
        <w:rPr>
          <w:rStyle w:val="FootnoteReference"/>
        </w:rPr>
        <w:footnoteRef/>
      </w:r>
      <w:r>
        <w:t xml:space="preserve"> </w:t>
      </w:r>
      <w:r w:rsidRPr="001E63BC">
        <w:t xml:space="preserve">See Article 141 EU Financial Regulation </w:t>
      </w:r>
      <w:hyperlink r:id="rId12" w:history="1">
        <w:r w:rsidRPr="001E63BC">
          <w:rPr>
            <w:rStyle w:val="Hyperlink"/>
          </w:rPr>
          <w:t>2018/1046</w:t>
        </w:r>
      </w:hyperlink>
      <w:r w:rsidRPr="001E63BC">
        <w:t>.</w:t>
      </w:r>
    </w:p>
  </w:footnote>
  <w:footnote w:id="18">
    <w:p w14:paraId="71790585" w14:textId="77777777" w:rsidR="004746B1" w:rsidRPr="00284DF2" w:rsidRDefault="004746B1" w:rsidP="00C60BD6">
      <w:pPr>
        <w:pStyle w:val="FootnoteText"/>
      </w:pPr>
      <w:r>
        <w:rPr>
          <w:rStyle w:val="FootnoteReference"/>
        </w:rPr>
        <w:footnoteRef/>
      </w:r>
      <w:r>
        <w:t xml:space="preserve"> </w:t>
      </w:r>
      <w:hyperlink r:id="rId13" w:history="1">
        <w:r w:rsidRPr="001E63BC">
          <w:rPr>
            <w:rStyle w:val="Hyperlink"/>
          </w:rPr>
          <w:t>https://ec.europa.eu/info/research-and-innovation/funding/funding-opportunities/seal-excellence_en</w:t>
        </w:r>
      </w:hyperlink>
      <w:r w:rsidRPr="001E63BC">
        <w:t>.</w:t>
      </w:r>
    </w:p>
  </w:footnote>
  <w:footnote w:id="19">
    <w:p w14:paraId="4AD5B4A7" w14:textId="77777777" w:rsidR="004746B1" w:rsidRPr="0088101F" w:rsidRDefault="004746B1" w:rsidP="00C60BD6">
      <w:pPr>
        <w:pStyle w:val="FootnoteText"/>
      </w:pPr>
      <w:r>
        <w:rPr>
          <w:rStyle w:val="FootnoteReference"/>
        </w:rPr>
        <w:footnoteRef/>
      </w:r>
      <w:r>
        <w:t xml:space="preserve"> See Horizon Europe Programme Guide for further details.</w:t>
      </w:r>
    </w:p>
  </w:footnote>
  <w:footnote w:id="20">
    <w:p w14:paraId="038055E5" w14:textId="2A118CB6" w:rsidR="004746B1" w:rsidRPr="001E63BC" w:rsidRDefault="004746B1" w:rsidP="00C60BD6">
      <w:pPr>
        <w:pStyle w:val="FootnoteText"/>
      </w:pPr>
      <w:r>
        <w:rPr>
          <w:rStyle w:val="FootnoteReference"/>
        </w:rPr>
        <w:footnoteRef/>
      </w:r>
      <w:r>
        <w:t xml:space="preserve"> </w:t>
      </w:r>
      <w:r w:rsidRPr="001E63BC">
        <w:t xml:space="preserve">The </w:t>
      </w:r>
      <w:r>
        <w:t>‘</w:t>
      </w:r>
      <w:r w:rsidRPr="001E63BC">
        <w:t>lead procurer</w:t>
      </w:r>
      <w:r>
        <w:t>’</w:t>
      </w:r>
      <w:r w:rsidRPr="001E63BC">
        <w:t xml:space="preserve"> is a public procurer and is the beneficiary appointed by the buyers’ group to coordinate and lead the procurement activities. They can be either one of the procurers in the buyers’ group or another beneficiary in the action who is established or designated by the procurers in the buyers’ group to act as lead procurer.</w:t>
      </w:r>
    </w:p>
  </w:footnote>
  <w:footnote w:id="21">
    <w:p w14:paraId="6D6BE2E4" w14:textId="50936C9A" w:rsidR="004746B1" w:rsidRPr="001E63BC" w:rsidRDefault="004746B1" w:rsidP="00C60BD6">
      <w:pPr>
        <w:pStyle w:val="FootnoteText"/>
      </w:pPr>
      <w:r>
        <w:rPr>
          <w:rStyle w:val="FootnoteReference"/>
        </w:rPr>
        <w:footnoteRef/>
      </w:r>
      <w:r>
        <w:t xml:space="preserve"> </w:t>
      </w:r>
      <w:r w:rsidRPr="001E63BC">
        <w:t>Addressing the common challenge in different countries may require</w:t>
      </w:r>
      <w:r>
        <w:t>,</w:t>
      </w:r>
      <w:r w:rsidRPr="001E63BC">
        <w:t xml:space="preserve"> beyond the common core functionality</w:t>
      </w:r>
      <w:r>
        <w:t>,</w:t>
      </w:r>
      <w:r w:rsidRPr="001E63BC">
        <w:t xml:space="preserve"> the development and testing of additional local functionality or adaption of solutions </w:t>
      </w:r>
      <w:r>
        <w:t>by each</w:t>
      </w:r>
      <w:r w:rsidRPr="001E63BC">
        <w:t xml:space="preserve"> procurer due to differences in the local context. A PCP that addresses a challenge consist</w:t>
      </w:r>
      <w:r>
        <w:t>ing</w:t>
      </w:r>
      <w:r w:rsidRPr="001E63BC">
        <w:t xml:space="preserve"> of several facets (sub-challenges or building blocks) is considered one joint PCP</w:t>
      </w:r>
      <w:r>
        <w:t>,</w:t>
      </w:r>
      <w:r w:rsidRPr="001E63BC">
        <w:t xml:space="preserve"> as long as all procurers in the buyers’ group share the need for - and are willing to co-finance - all the facets of the common challenge.</w:t>
      </w:r>
    </w:p>
  </w:footnote>
  <w:footnote w:id="22">
    <w:p w14:paraId="5EEC4794" w14:textId="2C7DB841" w:rsidR="004746B1" w:rsidRPr="001E63BC" w:rsidRDefault="004746B1" w:rsidP="00C60BD6">
      <w:pPr>
        <w:pStyle w:val="FootnoteText"/>
      </w:pPr>
      <w:r>
        <w:rPr>
          <w:rStyle w:val="FootnoteReference"/>
        </w:rPr>
        <w:footnoteRef/>
      </w:r>
      <w:r>
        <w:t xml:space="preserve"> </w:t>
      </w:r>
      <w:r w:rsidRPr="001E63BC">
        <w:t>Addressing the common challenge in different countries may require deployment and</w:t>
      </w:r>
      <w:r>
        <w:t>,</w:t>
      </w:r>
      <w:r w:rsidRPr="001E63BC">
        <w:t xml:space="preserve"> where applicable</w:t>
      </w:r>
      <w:r>
        <w:t>,</w:t>
      </w:r>
      <w:r w:rsidRPr="001E63BC">
        <w:t xml:space="preserve"> conformance testing, of local functionality or adaption of solutions for each procurer </w:t>
      </w:r>
      <w:r>
        <w:t>due to</w:t>
      </w:r>
      <w:r w:rsidRPr="001E63BC">
        <w:t xml:space="preserve"> differences in the local context.</w:t>
      </w:r>
    </w:p>
  </w:footnote>
  <w:footnote w:id="23">
    <w:p w14:paraId="2982D142" w14:textId="77777777" w:rsidR="004746B1" w:rsidRPr="001E63BC" w:rsidRDefault="004746B1" w:rsidP="00C60BD6">
      <w:pPr>
        <w:pStyle w:val="FootnoteText"/>
      </w:pPr>
      <w:r>
        <w:rPr>
          <w:rStyle w:val="FootnoteReference"/>
        </w:rPr>
        <w:footnoteRef/>
      </w:r>
      <w:r>
        <w:t xml:space="preserve"> See Article 14 of Directive 2014/24/EU, Article</w:t>
      </w:r>
      <w:r w:rsidRPr="001E63BC">
        <w:t xml:space="preserve"> 32 of Directive 2014/25/EU </w:t>
      </w:r>
      <w:r>
        <w:t>and Article</w:t>
      </w:r>
      <w:r w:rsidRPr="001E63BC">
        <w:t xml:space="preserve"> 13(f)(j) of Directive 2009/81/EC.</w:t>
      </w:r>
    </w:p>
  </w:footnote>
  <w:footnote w:id="24">
    <w:p w14:paraId="1AA29850" w14:textId="6E124F4E" w:rsidR="004746B1" w:rsidRPr="001E63BC" w:rsidRDefault="004746B1" w:rsidP="00C60BD6">
      <w:pPr>
        <w:pStyle w:val="FootnoteText"/>
      </w:pPr>
      <w:r>
        <w:rPr>
          <w:rStyle w:val="FootnoteReference"/>
        </w:rPr>
        <w:footnoteRef/>
      </w:r>
      <w:r>
        <w:t xml:space="preserve"> </w:t>
      </w:r>
      <w:r w:rsidRPr="001E63BC">
        <w:t>In particular</w:t>
      </w:r>
      <w:r>
        <w:t>,</w:t>
      </w:r>
      <w:r w:rsidRPr="001E63BC">
        <w:t xml:space="preserve"> the fundamental Treaty principles on the free movement of goods and workers, the freedom to provide services, the freedom of establishment and the free movement of capital, as well as the principles deriving therefrom, such as the principles of non-discrimination, transparency and equal treatment.</w:t>
      </w:r>
    </w:p>
  </w:footnote>
  <w:footnote w:id="25">
    <w:p w14:paraId="6AB9E58A" w14:textId="5F01C88C" w:rsidR="004746B1" w:rsidRPr="001E63BC" w:rsidRDefault="004746B1" w:rsidP="00C60BD6">
      <w:pPr>
        <w:pStyle w:val="FootnoteText"/>
      </w:pPr>
      <w:r>
        <w:rPr>
          <w:rStyle w:val="FootnoteReference"/>
        </w:rPr>
        <w:footnoteRef/>
      </w:r>
      <w:r>
        <w:t xml:space="preserve"> </w:t>
      </w:r>
      <w:r w:rsidRPr="001E63BC">
        <w:t>See</w:t>
      </w:r>
      <w:r>
        <w:t>,</w:t>
      </w:r>
      <w:r w:rsidRPr="001E63BC">
        <w:t xml:space="preserve"> in particular</w:t>
      </w:r>
      <w:r>
        <w:t>,</w:t>
      </w:r>
      <w:r w:rsidRPr="001E63BC">
        <w:t xml:space="preserve"> Article 2.3 of the 2014 R&amp;D&amp;I State aid framework.</w:t>
      </w:r>
    </w:p>
  </w:footnote>
  <w:footnote w:id="26">
    <w:p w14:paraId="78A7CCF9" w14:textId="6AC3E893" w:rsidR="004746B1" w:rsidRPr="0061454A" w:rsidRDefault="004746B1" w:rsidP="00C60BD6">
      <w:pPr>
        <w:pStyle w:val="FootnoteText"/>
      </w:pPr>
      <w:r>
        <w:rPr>
          <w:rStyle w:val="FootnoteReference"/>
        </w:rPr>
        <w:footnoteRef/>
      </w:r>
      <w:r>
        <w:t xml:space="preserve"> </w:t>
      </w:r>
      <w:r w:rsidRPr="0061454A">
        <w:t>See the Horizon Europe Regulation and the PCP Communication COM/2007/799 and associated SEC(1668)2007. Note that PCPs can include the purchase of the first end-products that were developed, installed and tested during the PCP, but not the purchase of larger commercial volumes of end-products requiring quantity production beyond delivering the first products for the PCP.</w:t>
      </w:r>
    </w:p>
  </w:footnote>
  <w:footnote w:id="27">
    <w:p w14:paraId="586F7799" w14:textId="7E233FEE" w:rsidR="004746B1" w:rsidRPr="0061454A" w:rsidRDefault="004746B1" w:rsidP="00C60BD6">
      <w:pPr>
        <w:pStyle w:val="FootnoteText"/>
      </w:pPr>
      <w:r>
        <w:rPr>
          <w:rStyle w:val="FootnoteReference"/>
        </w:rPr>
        <w:footnoteRef/>
      </w:r>
      <w:r>
        <w:t xml:space="preserve"> </w:t>
      </w:r>
      <w:r w:rsidRPr="0061454A">
        <w:t>The open market consultation should be organised in a way not to preclude or distort competition. In respect of the Treaty principles, the open market consultation must be announced well in advance and widely - via a prior information notice that is published at least 45 days before the first open market consultation meeting in the Official Journal of the EU - and enable potential tenderers regardless of their geographic location to participate at least in English. All information given in answers to questions from participants in the dialogue should be documented and published.</w:t>
      </w:r>
    </w:p>
  </w:footnote>
  <w:footnote w:id="28">
    <w:p w14:paraId="474C0E42" w14:textId="437678FE" w:rsidR="004746B1" w:rsidRPr="0061454A" w:rsidRDefault="004746B1" w:rsidP="00C60BD6">
      <w:pPr>
        <w:pStyle w:val="FootnoteText"/>
      </w:pPr>
      <w:r>
        <w:rPr>
          <w:rStyle w:val="FootnoteReference"/>
        </w:rPr>
        <w:footnoteRef/>
      </w:r>
      <w:r>
        <w:t xml:space="preserve"> </w:t>
      </w:r>
      <w:r w:rsidRPr="0061454A">
        <w:t>In line with WTO GPA 2014 Article XIII(1)(f), R&amp;D can cover activities such as solution exploration and design, prototyping, up to the original development of a limited volume of first products or services in the form of a test series. Original development of a first product or service may include limited production or supply to incorporate the results of field testing and demonstrate that the product or service is suitable for production or supply in quantity to acceptable quality standards. R&amp;D does not include quantity production or supply to establish commercial viability or to recover R&amp;D costs, nor commercial development activities such as incremental adaptations or routine or periodic changes to existing products, services, production lines, processes or other operations in progress, even if such changes may represent improvements.</w:t>
      </w:r>
    </w:p>
  </w:footnote>
  <w:footnote w:id="29">
    <w:p w14:paraId="4BCBE679" w14:textId="024CFFAF" w:rsidR="004746B1" w:rsidRPr="0061454A" w:rsidRDefault="004746B1" w:rsidP="00C60BD6">
      <w:pPr>
        <w:pStyle w:val="FootnoteText"/>
      </w:pPr>
      <w:r>
        <w:rPr>
          <w:rStyle w:val="FootnoteReference"/>
        </w:rPr>
        <w:footnoteRef/>
      </w:r>
      <w:r>
        <w:t xml:space="preserve"> </w:t>
      </w:r>
      <w:r w:rsidRPr="0061454A">
        <w:t xml:space="preserve">Through the Official Journal of the EU, using the TED (Tenders Electronic Daily) web </w:t>
      </w:r>
      <w:r>
        <w:t>p</w:t>
      </w:r>
      <w:r w:rsidRPr="0061454A">
        <w:t>ortal.</w:t>
      </w:r>
    </w:p>
  </w:footnote>
  <w:footnote w:id="30">
    <w:p w14:paraId="68558A65" w14:textId="7C8FCD33" w:rsidR="004746B1" w:rsidRPr="0061454A" w:rsidRDefault="004746B1" w:rsidP="00C60BD6">
      <w:pPr>
        <w:pStyle w:val="FootnoteText"/>
      </w:pPr>
      <w:r>
        <w:rPr>
          <w:rStyle w:val="FootnoteReference"/>
        </w:rPr>
        <w:footnoteRef/>
      </w:r>
      <w:r>
        <w:t xml:space="preserve"> </w:t>
      </w:r>
      <w:r w:rsidRPr="0061454A">
        <w:t xml:space="preserve">Especially where </w:t>
      </w:r>
      <w:r>
        <w:t xml:space="preserve">a </w:t>
      </w:r>
      <w:r w:rsidRPr="0061454A">
        <w:t>budgetary commitment for deployment is already available at the start of the PCP (fast-track PCP).</w:t>
      </w:r>
    </w:p>
  </w:footnote>
  <w:footnote w:id="31">
    <w:p w14:paraId="34AB27BF" w14:textId="77777777" w:rsidR="004746B1" w:rsidRPr="0061454A" w:rsidRDefault="004746B1" w:rsidP="00C60BD6">
      <w:pPr>
        <w:pStyle w:val="FootnoteText"/>
      </w:pPr>
      <w:r>
        <w:rPr>
          <w:rStyle w:val="FootnoteReference"/>
        </w:rPr>
        <w:footnoteRef/>
      </w:r>
      <w:r>
        <w:t xml:space="preserve"> </w:t>
      </w:r>
      <w:r w:rsidRPr="0061454A">
        <w:t>For duly justified reasons of public security, this may be limited to the EU Member States.</w:t>
      </w:r>
    </w:p>
  </w:footnote>
  <w:footnote w:id="32">
    <w:p w14:paraId="2520A92C" w14:textId="5EF998D1" w:rsidR="004746B1" w:rsidRPr="0061454A" w:rsidRDefault="004746B1" w:rsidP="00C60BD6">
      <w:pPr>
        <w:pStyle w:val="FootnoteText"/>
      </w:pPr>
      <w:r>
        <w:rPr>
          <w:rStyle w:val="FootnoteReference"/>
        </w:rPr>
        <w:footnoteRef/>
      </w:r>
      <w:r>
        <w:t xml:space="preserve"> </w:t>
      </w:r>
      <w:r w:rsidRPr="0061454A">
        <w:t xml:space="preserve">The market price should reflect the benefits allocated to the R&amp;D provider (e.g. commercialisation opportunities opened up by the IPR) and the risks assumed by the R&amp;D provider (e.g. the cost </w:t>
      </w:r>
      <w:r>
        <w:t>of</w:t>
      </w:r>
      <w:r w:rsidRPr="0061454A">
        <w:t xml:space="preserve"> maintaining the IPR and commercialising the products).</w:t>
      </w:r>
    </w:p>
  </w:footnote>
  <w:footnote w:id="33">
    <w:p w14:paraId="7106CE34" w14:textId="191B8EEB" w:rsidR="004746B1" w:rsidRPr="0061454A" w:rsidRDefault="004746B1" w:rsidP="00C60BD6">
      <w:pPr>
        <w:pStyle w:val="FootnoteText"/>
      </w:pPr>
      <w:r>
        <w:rPr>
          <w:rStyle w:val="FootnoteReference"/>
        </w:rPr>
        <w:footnoteRef/>
      </w:r>
      <w:r>
        <w:t xml:space="preserve"> </w:t>
      </w:r>
      <w:r w:rsidRPr="0061454A">
        <w:t xml:space="preserve">In </w:t>
      </w:r>
      <w:r>
        <w:t xml:space="preserve">the </w:t>
      </w:r>
      <w:r w:rsidRPr="0061454A">
        <w:t>case of a PPI follow</w:t>
      </w:r>
      <w:r>
        <w:t>ing</w:t>
      </w:r>
      <w:r w:rsidRPr="0061454A">
        <w:t xml:space="preserve"> a PCP that was implemented according to the conditions described in </w:t>
      </w:r>
      <w:r>
        <w:t>Annex</w:t>
      </w:r>
      <w:r w:rsidRPr="0061454A">
        <w:t xml:space="preserve"> I, the negotiated procedure without publication foreseen in the EU public procurement directives can then be used (Article 32(3)(a) of Directive 2014/24/EU, Article 50(b) of Directive 2014/25/EU and Article 13(j) of Directive 2009/81/EC). At least three offers must be </w:t>
      </w:r>
      <w:r>
        <w:t>requested,</w:t>
      </w:r>
      <w:r w:rsidRPr="0061454A">
        <w:t xml:space="preserve"> including from the R&amp;D providers that successfully completed the preceding PCP.</w:t>
      </w:r>
    </w:p>
  </w:footnote>
  <w:footnote w:id="34">
    <w:p w14:paraId="2D219D33" w14:textId="4211360A" w:rsidR="004746B1" w:rsidRPr="0061454A" w:rsidRDefault="004746B1" w:rsidP="00C60BD6">
      <w:pPr>
        <w:pStyle w:val="FootnoteText"/>
      </w:pPr>
      <w:r>
        <w:rPr>
          <w:rStyle w:val="FootnoteReference"/>
        </w:rPr>
        <w:footnoteRef/>
      </w:r>
      <w:r>
        <w:t xml:space="preserve"> </w:t>
      </w:r>
      <w:r w:rsidRPr="0061454A">
        <w:t xml:space="preserve">By means of a </w:t>
      </w:r>
      <w:r>
        <w:t>p</w:t>
      </w:r>
      <w:r w:rsidRPr="0061454A">
        <w:t xml:space="preserve">rior </w:t>
      </w:r>
      <w:r>
        <w:t>i</w:t>
      </w:r>
      <w:r w:rsidRPr="0061454A">
        <w:t xml:space="preserve">nformation </w:t>
      </w:r>
      <w:r>
        <w:t>n</w:t>
      </w:r>
      <w:r w:rsidRPr="0061454A">
        <w:t>otice in the Official Journal of the 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1294" w14:textId="77777777" w:rsidR="00C968A8" w:rsidRDefault="00C9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8661" w14:textId="7659D7AC" w:rsidR="004746B1" w:rsidRPr="00645F70" w:rsidRDefault="00C968A8" w:rsidP="00645F70">
    <w:pPr>
      <w:pStyle w:val="HeaderStyle"/>
    </w:pPr>
    <w:sdt>
      <w:sdtPr>
        <w:id w:val="-1060010859"/>
        <w:docPartObj>
          <w:docPartGallery w:val="Watermarks"/>
          <w:docPartUnique/>
        </w:docPartObj>
      </w:sdtPr>
      <w:sdtContent>
        <w:r>
          <w:rPr>
            <w:noProof/>
            <w:lang w:val="en-US" w:eastAsia="en-US"/>
          </w:rPr>
          <w:pict w14:anchorId="5CA88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46B1">
      <w:t>Horizon Europe - Work Programme 2021-2022</w:t>
    </w:r>
    <w:r w:rsidR="004746B1">
      <w:cr/>
      <w:t xml:space="preserve">General Annexes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D2E8" w14:textId="4B8A74BC" w:rsidR="004746B1" w:rsidRDefault="004746B1" w:rsidP="00F37A29">
    <w:pPr>
      <w:pStyle w:val="Header"/>
      <w:tabs>
        <w:tab w:val="clear" w:pos="4536"/>
        <w:tab w:val="clear" w:pos="9072"/>
        <w:tab w:val="left" w:pos="2265"/>
      </w:tabs>
    </w:pPr>
    <w:r>
      <w:rPr>
        <w:noProof/>
      </w:rPr>
      <mc:AlternateContent>
        <mc:Choice Requires="wps">
          <w:drawing>
            <wp:anchor distT="0" distB="0" distL="114300" distR="114300" simplePos="0" relativeHeight="251657216" behindDoc="1" locked="0" layoutInCell="0" allowOverlap="1" wp14:anchorId="01CFBDC5" wp14:editId="5C15CDF1">
              <wp:simplePos x="0" y="0"/>
              <wp:positionH relativeFrom="margin">
                <wp:posOffset>414020</wp:posOffset>
              </wp:positionH>
              <wp:positionV relativeFrom="margin">
                <wp:posOffset>3269615</wp:posOffset>
              </wp:positionV>
              <wp:extent cx="5237480" cy="3142615"/>
              <wp:effectExtent l="0" t="1145540" r="0" b="655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39F0FA" w14:textId="77777777" w:rsidR="004746B1" w:rsidRDefault="004746B1" w:rsidP="00C60BD6">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CFBDC5" id="_x0000_t202" coordsize="21600,21600" o:spt="202" path="m,l,21600r21600,l21600,xe">
              <v:stroke joinstyle="miter"/>
              <v:path gradientshapeok="t" o:connecttype="rect"/>
            </v:shapetype>
            <v:shape id="Text Box 17" o:spid="_x0000_s1029" type="#_x0000_t202" style="position:absolute;left:0;text-align:left;margin-left:32.6pt;margin-top:257.4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yAiAIAAP8E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" o:allowincell="f" filled="f" stroked="f">
              <v:stroke joinstyle="round"/>
              <o:lock v:ext="edit" shapetype="t"/>
              <v:textbox style="mso-fit-shape-to-text:t">
                <w:txbxContent>
                  <w:p w14:paraId="3239F0FA" w14:textId="77777777" w:rsidR="004746B1" w:rsidRDefault="004746B1" w:rsidP="00C60BD6">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65E0"/>
    <w:multiLevelType w:val="hybridMultilevel"/>
    <w:tmpl w:val="106438E4"/>
    <w:lvl w:ilvl="0" w:tplc="9D9AA132">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E5192"/>
    <w:multiLevelType w:val="hybridMultilevel"/>
    <w:tmpl w:val="3078DEF2"/>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5E36"/>
    <w:multiLevelType w:val="hybridMultilevel"/>
    <w:tmpl w:val="F51CD2C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D19FB"/>
    <w:multiLevelType w:val="hybridMultilevel"/>
    <w:tmpl w:val="DFD2302A"/>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94262"/>
    <w:multiLevelType w:val="hybridMultilevel"/>
    <w:tmpl w:val="B26C8960"/>
    <w:lvl w:ilvl="0" w:tplc="9D9AA132">
      <w:start w:val="1"/>
      <w:numFmt w:val="bullet"/>
      <w:lvlText w:val=""/>
      <w:lvlJc w:val="left"/>
      <w:pPr>
        <w:ind w:left="720" w:hanging="360"/>
      </w:pPr>
      <w:rPr>
        <w:rFonts w:ascii="Symbol" w:hAnsi="Symbol" w:hint="default"/>
        <w:color w:val="59595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22667"/>
    <w:multiLevelType w:val="hybridMultilevel"/>
    <w:tmpl w:val="D7382EBA"/>
    <w:lvl w:ilvl="0" w:tplc="0B3EBF16">
      <w:start w:val="18"/>
      <w:numFmt w:val="bullet"/>
      <w:lvlText w:val="-"/>
      <w:lvlJc w:val="left"/>
      <w:pPr>
        <w:ind w:left="-687" w:hanging="360"/>
      </w:pPr>
      <w:rPr>
        <w:rFonts w:ascii="Verdana" w:eastAsia="Times New Roman" w:hAnsi="Verdana" w:cs="Times New Roman" w:hint="default"/>
      </w:rPr>
    </w:lvl>
    <w:lvl w:ilvl="1" w:tplc="08090003" w:tentative="1">
      <w:start w:val="1"/>
      <w:numFmt w:val="bullet"/>
      <w:lvlText w:val="o"/>
      <w:lvlJc w:val="left"/>
      <w:pPr>
        <w:ind w:left="33" w:hanging="360"/>
      </w:pPr>
      <w:rPr>
        <w:rFonts w:ascii="Courier New" w:hAnsi="Courier New" w:cs="Courier New" w:hint="default"/>
      </w:rPr>
    </w:lvl>
    <w:lvl w:ilvl="2" w:tplc="08090005" w:tentative="1">
      <w:start w:val="1"/>
      <w:numFmt w:val="bullet"/>
      <w:lvlText w:val=""/>
      <w:lvlJc w:val="left"/>
      <w:pPr>
        <w:ind w:left="753" w:hanging="360"/>
      </w:pPr>
      <w:rPr>
        <w:rFonts w:ascii="Wingdings" w:hAnsi="Wingdings" w:hint="default"/>
      </w:rPr>
    </w:lvl>
    <w:lvl w:ilvl="3" w:tplc="08090001" w:tentative="1">
      <w:start w:val="1"/>
      <w:numFmt w:val="bullet"/>
      <w:lvlText w:val=""/>
      <w:lvlJc w:val="left"/>
      <w:pPr>
        <w:ind w:left="1473" w:hanging="360"/>
      </w:pPr>
      <w:rPr>
        <w:rFonts w:ascii="Symbol" w:hAnsi="Symbol" w:hint="default"/>
      </w:rPr>
    </w:lvl>
    <w:lvl w:ilvl="4" w:tplc="08090003" w:tentative="1">
      <w:start w:val="1"/>
      <w:numFmt w:val="bullet"/>
      <w:lvlText w:val="o"/>
      <w:lvlJc w:val="left"/>
      <w:pPr>
        <w:ind w:left="2193" w:hanging="360"/>
      </w:pPr>
      <w:rPr>
        <w:rFonts w:ascii="Courier New" w:hAnsi="Courier New" w:cs="Courier New" w:hint="default"/>
      </w:rPr>
    </w:lvl>
    <w:lvl w:ilvl="5" w:tplc="08090005" w:tentative="1">
      <w:start w:val="1"/>
      <w:numFmt w:val="bullet"/>
      <w:lvlText w:val=""/>
      <w:lvlJc w:val="left"/>
      <w:pPr>
        <w:ind w:left="2913" w:hanging="360"/>
      </w:pPr>
      <w:rPr>
        <w:rFonts w:ascii="Wingdings" w:hAnsi="Wingdings" w:hint="default"/>
      </w:rPr>
    </w:lvl>
    <w:lvl w:ilvl="6" w:tplc="08090001" w:tentative="1">
      <w:start w:val="1"/>
      <w:numFmt w:val="bullet"/>
      <w:lvlText w:val=""/>
      <w:lvlJc w:val="left"/>
      <w:pPr>
        <w:ind w:left="3633" w:hanging="360"/>
      </w:pPr>
      <w:rPr>
        <w:rFonts w:ascii="Symbol" w:hAnsi="Symbol" w:hint="default"/>
      </w:rPr>
    </w:lvl>
    <w:lvl w:ilvl="7" w:tplc="08090003" w:tentative="1">
      <w:start w:val="1"/>
      <w:numFmt w:val="bullet"/>
      <w:lvlText w:val="o"/>
      <w:lvlJc w:val="left"/>
      <w:pPr>
        <w:ind w:left="4353" w:hanging="360"/>
      </w:pPr>
      <w:rPr>
        <w:rFonts w:ascii="Courier New" w:hAnsi="Courier New" w:cs="Courier New" w:hint="default"/>
      </w:rPr>
    </w:lvl>
    <w:lvl w:ilvl="8" w:tplc="08090005" w:tentative="1">
      <w:start w:val="1"/>
      <w:numFmt w:val="bullet"/>
      <w:lvlText w:val=""/>
      <w:lvlJc w:val="left"/>
      <w:pPr>
        <w:ind w:left="5073" w:hanging="360"/>
      </w:pPr>
      <w:rPr>
        <w:rFonts w:ascii="Wingdings" w:hAnsi="Wingdings" w:hint="default"/>
      </w:rPr>
    </w:lvl>
  </w:abstractNum>
  <w:abstractNum w:abstractNumId="8" w15:restartNumberingAfterBreak="0">
    <w:nsid w:val="22F0775B"/>
    <w:multiLevelType w:val="hybridMultilevel"/>
    <w:tmpl w:val="85CC8190"/>
    <w:lvl w:ilvl="0" w:tplc="40D2097A">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0244F"/>
    <w:multiLevelType w:val="hybridMultilevel"/>
    <w:tmpl w:val="51D262D2"/>
    <w:lvl w:ilvl="0" w:tplc="40D2097A">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162AA"/>
    <w:multiLevelType w:val="hybridMultilevel"/>
    <w:tmpl w:val="C7C6ACAC"/>
    <w:lvl w:ilvl="0" w:tplc="BE50AD9E">
      <w:start w:val="1"/>
      <w:numFmt w:val="bullet"/>
      <w:lvlText w:val=""/>
      <w:lvlJc w:val="left"/>
      <w:pPr>
        <w:ind w:left="720" w:hanging="360"/>
      </w:pPr>
      <w:rPr>
        <w:rFonts w:ascii="Symbol" w:hAnsi="Symbol" w:hint="default"/>
        <w:sz w:val="21"/>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23A8E"/>
    <w:multiLevelType w:val="hybridMultilevel"/>
    <w:tmpl w:val="17522CB4"/>
    <w:lvl w:ilvl="0" w:tplc="BE50AD9E">
      <w:start w:val="1"/>
      <w:numFmt w:val="bullet"/>
      <w:lvlText w:val=""/>
      <w:lvlJc w:val="left"/>
      <w:pPr>
        <w:ind w:left="720" w:hanging="360"/>
      </w:pPr>
      <w:rPr>
        <w:rFonts w:ascii="Symbol" w:hAnsi="Symbol" w:hint="default"/>
        <w:sz w:val="21"/>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C4589"/>
    <w:multiLevelType w:val="hybridMultilevel"/>
    <w:tmpl w:val="B35C3D46"/>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6362A"/>
    <w:multiLevelType w:val="hybridMultilevel"/>
    <w:tmpl w:val="495E14F4"/>
    <w:lvl w:ilvl="0" w:tplc="BE50AD9E">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4C76ECA"/>
    <w:multiLevelType w:val="hybridMultilevel"/>
    <w:tmpl w:val="26BEA8BC"/>
    <w:lvl w:ilvl="0" w:tplc="40D2097A">
      <w:start w:val="1"/>
      <w:numFmt w:val="bullet"/>
      <w:lvlText w:val="–"/>
      <w:lvlJc w:val="left"/>
      <w:pPr>
        <w:ind w:left="720" w:hanging="360"/>
      </w:pPr>
      <w:rPr>
        <w:rFonts w:ascii="Times New Roman" w:hAnsi="Times New Roman"/>
      </w:rPr>
    </w:lvl>
    <w:lvl w:ilvl="1" w:tplc="08090003">
      <w:start w:val="1"/>
      <w:numFmt w:val="bullet"/>
      <w:lvlText w:val="o"/>
      <w:lvlJc w:val="left"/>
      <w:pPr>
        <w:ind w:left="1440" w:hanging="360"/>
      </w:pPr>
      <w:rPr>
        <w:rFonts w:ascii="Courier New" w:hAnsi="Courier New" w:cs="Courier New" w:hint="default"/>
      </w:rPr>
    </w:lvl>
    <w:lvl w:ilvl="2" w:tplc="0B3EBF16">
      <w:start w:val="18"/>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F0C19"/>
    <w:multiLevelType w:val="hybridMultilevel"/>
    <w:tmpl w:val="A9A6EF56"/>
    <w:lvl w:ilvl="0" w:tplc="40D2097A">
      <w:start w:val="1"/>
      <w:numFmt w:val="bullet"/>
      <w:lvlText w:val="–"/>
      <w:lvlJc w:val="left"/>
      <w:pPr>
        <w:ind w:left="720" w:hanging="360"/>
      </w:pPr>
      <w:rPr>
        <w:rFonts w:ascii="Times New Roman" w:hAnsi="Times New Roman"/>
      </w:rPr>
    </w:lvl>
    <w:lvl w:ilvl="1" w:tplc="0B3EBF16">
      <w:start w:val="18"/>
      <w:numFmt w:val="bullet"/>
      <w:lvlText w:val="-"/>
      <w:lvlJc w:val="left"/>
      <w:pPr>
        <w:ind w:left="1440" w:hanging="360"/>
      </w:pPr>
      <w:rPr>
        <w:rFonts w:ascii="Verdana" w:eastAsia="Times New Roman" w:hAnsi="Verdana"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45C58"/>
    <w:multiLevelType w:val="hybridMultilevel"/>
    <w:tmpl w:val="B804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F3C56"/>
    <w:multiLevelType w:val="hybridMultilevel"/>
    <w:tmpl w:val="012EBF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33198"/>
    <w:multiLevelType w:val="hybridMultilevel"/>
    <w:tmpl w:val="0B40FB20"/>
    <w:lvl w:ilvl="0" w:tplc="40D2097A">
      <w:start w:val="1"/>
      <w:numFmt w:val="bullet"/>
      <w:lvlText w:val="–"/>
      <w:lvlJc w:val="left"/>
      <w:pPr>
        <w:ind w:left="720" w:hanging="360"/>
      </w:pPr>
      <w:rPr>
        <w:rFonts w:ascii="Times New Roman" w:hAnsi="Times New Roman"/>
      </w:rPr>
    </w:lvl>
    <w:lvl w:ilvl="1" w:tplc="0B3EBF16">
      <w:start w:val="18"/>
      <w:numFmt w:val="bullet"/>
      <w:lvlText w:val="-"/>
      <w:lvlJc w:val="left"/>
      <w:pPr>
        <w:ind w:left="1440" w:hanging="360"/>
      </w:pPr>
      <w:rPr>
        <w:rFonts w:ascii="Verdana" w:eastAsia="Times New Roman" w:hAnsi="Verdana"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B15D7"/>
    <w:multiLevelType w:val="hybridMultilevel"/>
    <w:tmpl w:val="2E340534"/>
    <w:lvl w:ilvl="0" w:tplc="40D2097A">
      <w:start w:val="1"/>
      <w:numFmt w:val="bullet"/>
      <w:lvlText w:val="–"/>
      <w:lvlJc w:val="left"/>
      <w:pPr>
        <w:ind w:left="786" w:hanging="360"/>
      </w:pPr>
      <w:rPr>
        <w:rFonts w:ascii="Times New Roman" w:hAnsi="Times New Roman" w:hint="default"/>
      </w:rPr>
    </w:lvl>
    <w:lvl w:ilvl="1" w:tplc="0B3EBF16">
      <w:start w:val="18"/>
      <w:numFmt w:val="bullet"/>
      <w:lvlText w:val="-"/>
      <w:lvlJc w:val="left"/>
      <w:pPr>
        <w:ind w:left="1506" w:hanging="360"/>
      </w:pPr>
      <w:rPr>
        <w:rFonts w:ascii="Verdana" w:eastAsia="Times New Roman" w:hAnsi="Verdana" w:cs="Times New Roman"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FFC2B9A"/>
    <w:multiLevelType w:val="hybridMultilevel"/>
    <w:tmpl w:val="D928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C7B77"/>
    <w:multiLevelType w:val="hybridMultilevel"/>
    <w:tmpl w:val="F4FAD1C6"/>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BE50AD9E">
      <w:start w:val="1"/>
      <w:numFmt w:val="bullet"/>
      <w:lvlText w:val=""/>
      <w:lvlJc w:val="left"/>
      <w:pPr>
        <w:ind w:left="1506" w:hanging="360"/>
      </w:pPr>
      <w:rPr>
        <w:rFonts w:ascii="Symbol" w:hAnsi="Symbol"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7F10507"/>
    <w:multiLevelType w:val="hybridMultilevel"/>
    <w:tmpl w:val="34620992"/>
    <w:lvl w:ilvl="0" w:tplc="24C6155C">
      <w:start w:val="1"/>
      <w:numFmt w:val="bullet"/>
      <w:lvlText w:val=""/>
      <w:lvlJc w:val="left"/>
      <w:pPr>
        <w:ind w:left="1080" w:hanging="720"/>
      </w:pPr>
      <w:rPr>
        <w:rFonts w:ascii="Symbol" w:hAnsi="Symbol" w:hint="default"/>
        <w:strike w:val="0"/>
        <w:dstrike w:val="0"/>
        <w:color w:val="auto"/>
        <w:sz w:val="24"/>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9A647A"/>
    <w:multiLevelType w:val="hybridMultilevel"/>
    <w:tmpl w:val="E16A4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34BC0"/>
    <w:multiLevelType w:val="hybridMultilevel"/>
    <w:tmpl w:val="7B1E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84D82"/>
    <w:multiLevelType w:val="hybridMultilevel"/>
    <w:tmpl w:val="5FEC40F4"/>
    <w:lvl w:ilvl="0" w:tplc="40D2097A">
      <w:start w:val="1"/>
      <w:numFmt w:val="bullet"/>
      <w:lvlText w:val="–"/>
      <w:lvlJc w:val="left"/>
      <w:pPr>
        <w:ind w:left="720" w:hanging="360"/>
      </w:pPr>
      <w:rPr>
        <w:rFonts w:ascii="Times New Roman" w:hAnsi="Times New Roman"/>
      </w:rPr>
    </w:lvl>
    <w:lvl w:ilvl="1" w:tplc="0B3EBF16">
      <w:start w:val="18"/>
      <w:numFmt w:val="bullet"/>
      <w:lvlText w:val="-"/>
      <w:lvlJc w:val="left"/>
      <w:pPr>
        <w:ind w:left="1440" w:hanging="360"/>
      </w:pPr>
      <w:rPr>
        <w:rFonts w:ascii="Verdana" w:eastAsia="Times New Roman" w:hAnsi="Verdana"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B7514"/>
    <w:multiLevelType w:val="hybridMultilevel"/>
    <w:tmpl w:val="8CAE5230"/>
    <w:name w:val="CPSNumberingScheme"/>
    <w:lvl w:ilvl="0" w:tplc="57388D84">
      <w:start w:val="1"/>
      <w:numFmt w:val="decimal"/>
      <w:lvlText w:val="%1."/>
      <w:lvlJc w:val="right"/>
      <w:pPr>
        <w:ind w:left="500" w:hanging="180"/>
      </w:pPr>
    </w:lvl>
    <w:lvl w:ilvl="1" w:tplc="995621EE">
      <w:start w:val="1"/>
      <w:numFmt w:val="decimal"/>
      <w:lvlText w:val="%2."/>
      <w:lvlJc w:val="right"/>
      <w:pPr>
        <w:ind w:left="1000" w:hanging="180"/>
      </w:pPr>
    </w:lvl>
    <w:lvl w:ilvl="2" w:tplc="200AA3BA">
      <w:start w:val="1"/>
      <w:numFmt w:val="decimal"/>
      <w:lvlText w:val="%3."/>
      <w:lvlJc w:val="right"/>
      <w:pPr>
        <w:ind w:left="1500" w:hanging="180"/>
      </w:pPr>
    </w:lvl>
    <w:lvl w:ilvl="3" w:tplc="988E05D2">
      <w:start w:val="1"/>
      <w:numFmt w:val="decimal"/>
      <w:lvlText w:val="%4."/>
      <w:lvlJc w:val="right"/>
      <w:pPr>
        <w:ind w:left="2000" w:hanging="180"/>
      </w:pPr>
    </w:lvl>
    <w:lvl w:ilvl="4" w:tplc="ACDAD4AC">
      <w:start w:val="1"/>
      <w:numFmt w:val="decimal"/>
      <w:lvlText w:val="%5."/>
      <w:lvlJc w:val="right"/>
      <w:pPr>
        <w:ind w:left="2500" w:hanging="180"/>
      </w:pPr>
    </w:lvl>
    <w:lvl w:ilvl="5" w:tplc="728E423E">
      <w:start w:val="1"/>
      <w:numFmt w:val="decimal"/>
      <w:lvlText w:val="%6."/>
      <w:lvlJc w:val="right"/>
      <w:pPr>
        <w:ind w:left="3000" w:hanging="180"/>
      </w:pPr>
    </w:lvl>
    <w:lvl w:ilvl="6" w:tplc="DAFA567E">
      <w:start w:val="1"/>
      <w:numFmt w:val="decimal"/>
      <w:lvlText w:val="%7."/>
      <w:lvlJc w:val="right"/>
      <w:pPr>
        <w:ind w:left="3500" w:hanging="180"/>
      </w:pPr>
    </w:lvl>
    <w:lvl w:ilvl="7" w:tplc="7A2451F4">
      <w:start w:val="1"/>
      <w:numFmt w:val="decimal"/>
      <w:lvlText w:val="%8."/>
      <w:lvlJc w:val="right"/>
      <w:pPr>
        <w:ind w:left="4000" w:hanging="180"/>
      </w:pPr>
    </w:lvl>
    <w:lvl w:ilvl="8" w:tplc="95988B7C">
      <w:start w:val="1"/>
      <w:numFmt w:val="decimal"/>
      <w:lvlText w:val="%9."/>
      <w:lvlJc w:val="right"/>
      <w:pPr>
        <w:ind w:left="4500" w:hanging="180"/>
      </w:pPr>
    </w:lvl>
  </w:abstractNum>
  <w:abstractNum w:abstractNumId="30" w15:restartNumberingAfterBreak="0">
    <w:nsid w:val="6C3A39FB"/>
    <w:multiLevelType w:val="hybridMultilevel"/>
    <w:tmpl w:val="411A1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53882"/>
    <w:multiLevelType w:val="hybridMultilevel"/>
    <w:tmpl w:val="48C2C55C"/>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A0FA3"/>
    <w:multiLevelType w:val="multilevel"/>
    <w:tmpl w:val="1D8E4896"/>
    <w:lvl w:ilvl="0">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C4DC5"/>
    <w:multiLevelType w:val="hybridMultilevel"/>
    <w:tmpl w:val="6AF009D6"/>
    <w:lvl w:ilvl="0" w:tplc="40D2097A">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65BDB"/>
    <w:multiLevelType w:val="hybridMultilevel"/>
    <w:tmpl w:val="3B684DB6"/>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66D08"/>
    <w:multiLevelType w:val="hybridMultilevel"/>
    <w:tmpl w:val="595488DA"/>
    <w:lvl w:ilvl="0" w:tplc="0B3EBF16">
      <w:start w:val="18"/>
      <w:numFmt w:val="bullet"/>
      <w:lvlText w:val="-"/>
      <w:lvlJc w:val="left"/>
      <w:pPr>
        <w:ind w:left="720" w:hanging="360"/>
      </w:pPr>
      <w:rPr>
        <w:rFonts w:ascii="Verdana" w:eastAsia="Times New Roman" w:hAnsi="Verdana"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3"/>
  </w:num>
  <w:num w:numId="2">
    <w:abstractNumId w:val="33"/>
  </w:num>
  <w:num w:numId="3">
    <w:abstractNumId w:val="23"/>
  </w:num>
  <w:num w:numId="4">
    <w:abstractNumId w:val="0"/>
  </w:num>
  <w:num w:numId="5">
    <w:abstractNumId w:val="13"/>
  </w:num>
  <w:num w:numId="6">
    <w:abstractNumId w:val="2"/>
  </w:num>
  <w:num w:numId="7">
    <w:abstractNumId w:val="12"/>
  </w:num>
  <w:num w:numId="8">
    <w:abstractNumId w:val="10"/>
  </w:num>
  <w:num w:numId="9">
    <w:abstractNumId w:val="5"/>
  </w:num>
  <w:num w:numId="10">
    <w:abstractNumId w:val="14"/>
  </w:num>
  <w:num w:numId="11">
    <w:abstractNumId w:val="6"/>
  </w:num>
  <w:num w:numId="12">
    <w:abstractNumId w:val="19"/>
  </w:num>
  <w:num w:numId="13">
    <w:abstractNumId w:val="31"/>
  </w:num>
  <w:num w:numId="14">
    <w:abstractNumId w:val="8"/>
  </w:num>
  <w:num w:numId="15">
    <w:abstractNumId w:val="20"/>
  </w:num>
  <w:num w:numId="16">
    <w:abstractNumId w:val="28"/>
  </w:num>
  <w:num w:numId="17">
    <w:abstractNumId w:val="17"/>
  </w:num>
  <w:num w:numId="18">
    <w:abstractNumId w:val="15"/>
  </w:num>
  <w:num w:numId="19">
    <w:abstractNumId w:val="34"/>
  </w:num>
  <w:num w:numId="20">
    <w:abstractNumId w:val="9"/>
  </w:num>
  <w:num w:numId="21">
    <w:abstractNumId w:val="21"/>
  </w:num>
  <w:num w:numId="22">
    <w:abstractNumId w:val="4"/>
  </w:num>
  <w:num w:numId="23">
    <w:abstractNumId w:val="30"/>
  </w:num>
  <w:num w:numId="24">
    <w:abstractNumId w:val="22"/>
  </w:num>
  <w:num w:numId="25">
    <w:abstractNumId w:val="25"/>
  </w:num>
  <w:num w:numId="26">
    <w:abstractNumId w:val="16"/>
  </w:num>
  <w:num w:numId="27">
    <w:abstractNumId w:val="32"/>
  </w:num>
  <w:num w:numId="28">
    <w:abstractNumId w:val="27"/>
  </w:num>
  <w:num w:numId="29">
    <w:abstractNumId w:val="26"/>
  </w:num>
  <w:num w:numId="30">
    <w:abstractNumId w:val="36"/>
  </w:num>
  <w:num w:numId="31">
    <w:abstractNumId w:val="7"/>
  </w:num>
  <w:num w:numId="32">
    <w:abstractNumId w:val="37"/>
  </w:num>
  <w:num w:numId="33">
    <w:abstractNumId w:val="24"/>
  </w:num>
  <w:num w:numId="34">
    <w:abstractNumId w:val="1"/>
  </w:num>
  <w:num w:numId="35">
    <w:abstractNumId w:val="11"/>
  </w:num>
  <w:num w:numId="36">
    <w:abstractNumId w:val="35"/>
  </w:num>
  <w:num w:numId="3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activeWritingStyle w:appName="MSWord" w:lang="it-IT" w:vendorID="64" w:dllVersion="131078" w:nlCheck="1" w:checkStyle="0"/>
  <w:activeWritingStyle w:appName="MSWord" w:lang="en-IE" w:vendorID="64" w:dllVersion="131078" w:nlCheck="1" w:checkStyle="1"/>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157C2"/>
    <w:rsid w:val="000157E7"/>
    <w:rsid w:val="00020263"/>
    <w:rsid w:val="000212A5"/>
    <w:rsid w:val="000220B0"/>
    <w:rsid w:val="00024985"/>
    <w:rsid w:val="000265C8"/>
    <w:rsid w:val="00027065"/>
    <w:rsid w:val="00032776"/>
    <w:rsid w:val="0003291F"/>
    <w:rsid w:val="000337A9"/>
    <w:rsid w:val="00035053"/>
    <w:rsid w:val="00044236"/>
    <w:rsid w:val="00046063"/>
    <w:rsid w:val="000472E5"/>
    <w:rsid w:val="00051287"/>
    <w:rsid w:val="00052AF9"/>
    <w:rsid w:val="00053210"/>
    <w:rsid w:val="000553FB"/>
    <w:rsid w:val="00056138"/>
    <w:rsid w:val="0005773C"/>
    <w:rsid w:val="00061BF5"/>
    <w:rsid w:val="0006269A"/>
    <w:rsid w:val="0006290B"/>
    <w:rsid w:val="000655EB"/>
    <w:rsid w:val="00085A80"/>
    <w:rsid w:val="00090261"/>
    <w:rsid w:val="00093CB8"/>
    <w:rsid w:val="00094B3A"/>
    <w:rsid w:val="00096805"/>
    <w:rsid w:val="000A0D11"/>
    <w:rsid w:val="000A19A9"/>
    <w:rsid w:val="000A3060"/>
    <w:rsid w:val="000B079C"/>
    <w:rsid w:val="000B40E2"/>
    <w:rsid w:val="000B5441"/>
    <w:rsid w:val="000C0EEE"/>
    <w:rsid w:val="000C3EDA"/>
    <w:rsid w:val="000C4A54"/>
    <w:rsid w:val="000D3243"/>
    <w:rsid w:val="000D6003"/>
    <w:rsid w:val="000D6120"/>
    <w:rsid w:val="000D6606"/>
    <w:rsid w:val="000D78F2"/>
    <w:rsid w:val="000E098C"/>
    <w:rsid w:val="000E2E43"/>
    <w:rsid w:val="000E6A20"/>
    <w:rsid w:val="000E6F9C"/>
    <w:rsid w:val="000F0491"/>
    <w:rsid w:val="000F46D3"/>
    <w:rsid w:val="000F7AA1"/>
    <w:rsid w:val="00101819"/>
    <w:rsid w:val="001069DC"/>
    <w:rsid w:val="001073E2"/>
    <w:rsid w:val="0011149A"/>
    <w:rsid w:val="00112F79"/>
    <w:rsid w:val="001167D7"/>
    <w:rsid w:val="00121C60"/>
    <w:rsid w:val="0012797D"/>
    <w:rsid w:val="00132830"/>
    <w:rsid w:val="001343DC"/>
    <w:rsid w:val="001371A3"/>
    <w:rsid w:val="00140EAF"/>
    <w:rsid w:val="00142109"/>
    <w:rsid w:val="00144FA0"/>
    <w:rsid w:val="001451EF"/>
    <w:rsid w:val="001541A7"/>
    <w:rsid w:val="00155580"/>
    <w:rsid w:val="00157D88"/>
    <w:rsid w:val="00165947"/>
    <w:rsid w:val="001704B3"/>
    <w:rsid w:val="00171112"/>
    <w:rsid w:val="001734B2"/>
    <w:rsid w:val="00175BC8"/>
    <w:rsid w:val="00175F0F"/>
    <w:rsid w:val="00176D31"/>
    <w:rsid w:val="00183F41"/>
    <w:rsid w:val="00184585"/>
    <w:rsid w:val="001878B1"/>
    <w:rsid w:val="00190012"/>
    <w:rsid w:val="00190023"/>
    <w:rsid w:val="0019391F"/>
    <w:rsid w:val="001950A7"/>
    <w:rsid w:val="00195576"/>
    <w:rsid w:val="001A2AE5"/>
    <w:rsid w:val="001A53A7"/>
    <w:rsid w:val="001A720F"/>
    <w:rsid w:val="001A7A4B"/>
    <w:rsid w:val="001B0721"/>
    <w:rsid w:val="001C022F"/>
    <w:rsid w:val="001C0C7A"/>
    <w:rsid w:val="001C1DCE"/>
    <w:rsid w:val="001C2E88"/>
    <w:rsid w:val="001D3DCD"/>
    <w:rsid w:val="001D5F14"/>
    <w:rsid w:val="001E22B7"/>
    <w:rsid w:val="001E477C"/>
    <w:rsid w:val="001E5362"/>
    <w:rsid w:val="001E611A"/>
    <w:rsid w:val="001F0F35"/>
    <w:rsid w:val="001F3DED"/>
    <w:rsid w:val="001F4B66"/>
    <w:rsid w:val="001F771A"/>
    <w:rsid w:val="002004B8"/>
    <w:rsid w:val="00211757"/>
    <w:rsid w:val="00212264"/>
    <w:rsid w:val="00213A33"/>
    <w:rsid w:val="0021401E"/>
    <w:rsid w:val="00217277"/>
    <w:rsid w:val="00221B4D"/>
    <w:rsid w:val="00224CD5"/>
    <w:rsid w:val="00227FF3"/>
    <w:rsid w:val="002357B2"/>
    <w:rsid w:val="002363FC"/>
    <w:rsid w:val="00236630"/>
    <w:rsid w:val="00240042"/>
    <w:rsid w:val="002418AD"/>
    <w:rsid w:val="00254CB4"/>
    <w:rsid w:val="00254EB1"/>
    <w:rsid w:val="00256886"/>
    <w:rsid w:val="00257BB4"/>
    <w:rsid w:val="00263B27"/>
    <w:rsid w:val="00263CFA"/>
    <w:rsid w:val="0026414C"/>
    <w:rsid w:val="0026474F"/>
    <w:rsid w:val="00265C09"/>
    <w:rsid w:val="00266B0A"/>
    <w:rsid w:val="0027193B"/>
    <w:rsid w:val="0027281D"/>
    <w:rsid w:val="00274ED1"/>
    <w:rsid w:val="00275193"/>
    <w:rsid w:val="00285D69"/>
    <w:rsid w:val="00291BD6"/>
    <w:rsid w:val="00294CCE"/>
    <w:rsid w:val="002970C3"/>
    <w:rsid w:val="00297831"/>
    <w:rsid w:val="002A36C4"/>
    <w:rsid w:val="002A6675"/>
    <w:rsid w:val="002A795F"/>
    <w:rsid w:val="002B1796"/>
    <w:rsid w:val="002C1DD2"/>
    <w:rsid w:val="002C2561"/>
    <w:rsid w:val="002C4A42"/>
    <w:rsid w:val="002D01E4"/>
    <w:rsid w:val="002D0F1F"/>
    <w:rsid w:val="002D138C"/>
    <w:rsid w:val="002D5C42"/>
    <w:rsid w:val="002D6DFD"/>
    <w:rsid w:val="002E057F"/>
    <w:rsid w:val="002E101D"/>
    <w:rsid w:val="002E4E84"/>
    <w:rsid w:val="002E523A"/>
    <w:rsid w:val="002E5851"/>
    <w:rsid w:val="002E590E"/>
    <w:rsid w:val="002E662E"/>
    <w:rsid w:val="002F60C0"/>
    <w:rsid w:val="002F70D9"/>
    <w:rsid w:val="0030483A"/>
    <w:rsid w:val="00306A70"/>
    <w:rsid w:val="003137A8"/>
    <w:rsid w:val="00317A80"/>
    <w:rsid w:val="003210DA"/>
    <w:rsid w:val="00322D48"/>
    <w:rsid w:val="00323562"/>
    <w:rsid w:val="00325BB4"/>
    <w:rsid w:val="00326867"/>
    <w:rsid w:val="00327D4A"/>
    <w:rsid w:val="00332AE6"/>
    <w:rsid w:val="00333023"/>
    <w:rsid w:val="00336E91"/>
    <w:rsid w:val="003436D6"/>
    <w:rsid w:val="00343CC6"/>
    <w:rsid w:val="00345135"/>
    <w:rsid w:val="00345D8F"/>
    <w:rsid w:val="003508F0"/>
    <w:rsid w:val="003528F5"/>
    <w:rsid w:val="003569E8"/>
    <w:rsid w:val="003616D2"/>
    <w:rsid w:val="0036335B"/>
    <w:rsid w:val="0036435B"/>
    <w:rsid w:val="00366DB5"/>
    <w:rsid w:val="003670CC"/>
    <w:rsid w:val="003672C0"/>
    <w:rsid w:val="003706B1"/>
    <w:rsid w:val="00371BE0"/>
    <w:rsid w:val="003721F3"/>
    <w:rsid w:val="00372953"/>
    <w:rsid w:val="00384422"/>
    <w:rsid w:val="00385379"/>
    <w:rsid w:val="00386E4A"/>
    <w:rsid w:val="00391036"/>
    <w:rsid w:val="00394899"/>
    <w:rsid w:val="003A01D7"/>
    <w:rsid w:val="003A04D2"/>
    <w:rsid w:val="003B085D"/>
    <w:rsid w:val="003B1638"/>
    <w:rsid w:val="003B372E"/>
    <w:rsid w:val="003B743B"/>
    <w:rsid w:val="003C0B0F"/>
    <w:rsid w:val="003C3E50"/>
    <w:rsid w:val="003C4AAA"/>
    <w:rsid w:val="003D0469"/>
    <w:rsid w:val="003D177E"/>
    <w:rsid w:val="003D423F"/>
    <w:rsid w:val="003D46C3"/>
    <w:rsid w:val="003E2FE6"/>
    <w:rsid w:val="003F1724"/>
    <w:rsid w:val="003F1E43"/>
    <w:rsid w:val="003F2E85"/>
    <w:rsid w:val="003F3570"/>
    <w:rsid w:val="003F363F"/>
    <w:rsid w:val="003F59C8"/>
    <w:rsid w:val="003F5AEF"/>
    <w:rsid w:val="003F6796"/>
    <w:rsid w:val="004009D9"/>
    <w:rsid w:val="00401CA6"/>
    <w:rsid w:val="0040333A"/>
    <w:rsid w:val="00404C3C"/>
    <w:rsid w:val="00406582"/>
    <w:rsid w:val="00407813"/>
    <w:rsid w:val="004129B9"/>
    <w:rsid w:val="00413E21"/>
    <w:rsid w:val="0041775C"/>
    <w:rsid w:val="00420EC0"/>
    <w:rsid w:val="004219E7"/>
    <w:rsid w:val="004259BF"/>
    <w:rsid w:val="00426191"/>
    <w:rsid w:val="00427176"/>
    <w:rsid w:val="004274E3"/>
    <w:rsid w:val="004278D4"/>
    <w:rsid w:val="0043195C"/>
    <w:rsid w:val="004379A3"/>
    <w:rsid w:val="00451884"/>
    <w:rsid w:val="00454E26"/>
    <w:rsid w:val="00460609"/>
    <w:rsid w:val="004606B4"/>
    <w:rsid w:val="00466E17"/>
    <w:rsid w:val="0047141D"/>
    <w:rsid w:val="00472210"/>
    <w:rsid w:val="00472A70"/>
    <w:rsid w:val="00473217"/>
    <w:rsid w:val="004736E0"/>
    <w:rsid w:val="004746B1"/>
    <w:rsid w:val="004749B4"/>
    <w:rsid w:val="004800FB"/>
    <w:rsid w:val="004803B4"/>
    <w:rsid w:val="0048168A"/>
    <w:rsid w:val="00482F40"/>
    <w:rsid w:val="004914F1"/>
    <w:rsid w:val="0049153E"/>
    <w:rsid w:val="0049512F"/>
    <w:rsid w:val="00496765"/>
    <w:rsid w:val="004A5773"/>
    <w:rsid w:val="004B0696"/>
    <w:rsid w:val="004B2769"/>
    <w:rsid w:val="004C25B5"/>
    <w:rsid w:val="004C3DC7"/>
    <w:rsid w:val="004C4090"/>
    <w:rsid w:val="004D046A"/>
    <w:rsid w:val="004D37B6"/>
    <w:rsid w:val="004D4133"/>
    <w:rsid w:val="004D4CB7"/>
    <w:rsid w:val="004D52FC"/>
    <w:rsid w:val="004D6F2D"/>
    <w:rsid w:val="004D7A0B"/>
    <w:rsid w:val="004E0E4B"/>
    <w:rsid w:val="004E1196"/>
    <w:rsid w:val="004E22D8"/>
    <w:rsid w:val="004E3001"/>
    <w:rsid w:val="004E44CD"/>
    <w:rsid w:val="004E599D"/>
    <w:rsid w:val="004F0E87"/>
    <w:rsid w:val="004F2CBE"/>
    <w:rsid w:val="004F30A9"/>
    <w:rsid w:val="004F73F9"/>
    <w:rsid w:val="00500A02"/>
    <w:rsid w:val="005010D1"/>
    <w:rsid w:val="00510439"/>
    <w:rsid w:val="0051453A"/>
    <w:rsid w:val="00516E9E"/>
    <w:rsid w:val="005209A3"/>
    <w:rsid w:val="00520AA7"/>
    <w:rsid w:val="00524F84"/>
    <w:rsid w:val="00525716"/>
    <w:rsid w:val="00527374"/>
    <w:rsid w:val="00531788"/>
    <w:rsid w:val="00534BAC"/>
    <w:rsid w:val="00535EE1"/>
    <w:rsid w:val="00541591"/>
    <w:rsid w:val="00541EE4"/>
    <w:rsid w:val="005463E1"/>
    <w:rsid w:val="00551883"/>
    <w:rsid w:val="0055747C"/>
    <w:rsid w:val="0056100C"/>
    <w:rsid w:val="00567817"/>
    <w:rsid w:val="00567C61"/>
    <w:rsid w:val="00570043"/>
    <w:rsid w:val="005758DC"/>
    <w:rsid w:val="00576E23"/>
    <w:rsid w:val="00580201"/>
    <w:rsid w:val="00585C2B"/>
    <w:rsid w:val="00593915"/>
    <w:rsid w:val="00597E9D"/>
    <w:rsid w:val="005A61AF"/>
    <w:rsid w:val="005A69AA"/>
    <w:rsid w:val="005A6EA8"/>
    <w:rsid w:val="005B013F"/>
    <w:rsid w:val="005B2D20"/>
    <w:rsid w:val="005B4AC4"/>
    <w:rsid w:val="005B59AC"/>
    <w:rsid w:val="005B73B3"/>
    <w:rsid w:val="005C17BA"/>
    <w:rsid w:val="005C1C06"/>
    <w:rsid w:val="005C368D"/>
    <w:rsid w:val="005C493A"/>
    <w:rsid w:val="005C619F"/>
    <w:rsid w:val="005E08BF"/>
    <w:rsid w:val="005E24C6"/>
    <w:rsid w:val="005E6C48"/>
    <w:rsid w:val="005F27D5"/>
    <w:rsid w:val="005F38F0"/>
    <w:rsid w:val="005F6B64"/>
    <w:rsid w:val="005F7858"/>
    <w:rsid w:val="005F7FF2"/>
    <w:rsid w:val="00601A07"/>
    <w:rsid w:val="00601D17"/>
    <w:rsid w:val="00610A77"/>
    <w:rsid w:val="00611729"/>
    <w:rsid w:val="00611CD2"/>
    <w:rsid w:val="00612D63"/>
    <w:rsid w:val="00613B15"/>
    <w:rsid w:val="006163E7"/>
    <w:rsid w:val="00617338"/>
    <w:rsid w:val="00620358"/>
    <w:rsid w:val="0062047A"/>
    <w:rsid w:val="00621506"/>
    <w:rsid w:val="006305AB"/>
    <w:rsid w:val="00634E7D"/>
    <w:rsid w:val="006369EA"/>
    <w:rsid w:val="00640586"/>
    <w:rsid w:val="006405F6"/>
    <w:rsid w:val="006414B6"/>
    <w:rsid w:val="00645F70"/>
    <w:rsid w:val="00646943"/>
    <w:rsid w:val="00646F45"/>
    <w:rsid w:val="006500BA"/>
    <w:rsid w:val="00650BAD"/>
    <w:rsid w:val="006514A8"/>
    <w:rsid w:val="006623AF"/>
    <w:rsid w:val="0066649D"/>
    <w:rsid w:val="00671E1D"/>
    <w:rsid w:val="00672751"/>
    <w:rsid w:val="00672AE1"/>
    <w:rsid w:val="00674094"/>
    <w:rsid w:val="00675CF6"/>
    <w:rsid w:val="006766CD"/>
    <w:rsid w:val="00682D86"/>
    <w:rsid w:val="00684967"/>
    <w:rsid w:val="00695D65"/>
    <w:rsid w:val="006A2AD8"/>
    <w:rsid w:val="006A4086"/>
    <w:rsid w:val="006A5321"/>
    <w:rsid w:val="006A5C79"/>
    <w:rsid w:val="006A6038"/>
    <w:rsid w:val="006B3E37"/>
    <w:rsid w:val="006B457A"/>
    <w:rsid w:val="006B6206"/>
    <w:rsid w:val="006B7298"/>
    <w:rsid w:val="006C35F4"/>
    <w:rsid w:val="006C5F81"/>
    <w:rsid w:val="006C74FE"/>
    <w:rsid w:val="006D1E83"/>
    <w:rsid w:val="006D2B6C"/>
    <w:rsid w:val="006D3B57"/>
    <w:rsid w:val="006D4DF9"/>
    <w:rsid w:val="006D5307"/>
    <w:rsid w:val="006E06FB"/>
    <w:rsid w:val="006E139D"/>
    <w:rsid w:val="006E222C"/>
    <w:rsid w:val="006E2D1E"/>
    <w:rsid w:val="006E3DAE"/>
    <w:rsid w:val="006E4A36"/>
    <w:rsid w:val="006E622C"/>
    <w:rsid w:val="006F443C"/>
    <w:rsid w:val="00714AD0"/>
    <w:rsid w:val="00715D5B"/>
    <w:rsid w:val="00715DDA"/>
    <w:rsid w:val="00717534"/>
    <w:rsid w:val="00721A97"/>
    <w:rsid w:val="007336EB"/>
    <w:rsid w:val="00733DF1"/>
    <w:rsid w:val="00734E95"/>
    <w:rsid w:val="00736542"/>
    <w:rsid w:val="00741273"/>
    <w:rsid w:val="0074186D"/>
    <w:rsid w:val="007430EA"/>
    <w:rsid w:val="007500BF"/>
    <w:rsid w:val="00752394"/>
    <w:rsid w:val="0075539F"/>
    <w:rsid w:val="00763365"/>
    <w:rsid w:val="00766BAD"/>
    <w:rsid w:val="00771EE7"/>
    <w:rsid w:val="007723CB"/>
    <w:rsid w:val="0077243B"/>
    <w:rsid w:val="00773CAB"/>
    <w:rsid w:val="00795005"/>
    <w:rsid w:val="007A4C10"/>
    <w:rsid w:val="007A5447"/>
    <w:rsid w:val="007A6E2E"/>
    <w:rsid w:val="007B3F34"/>
    <w:rsid w:val="007B43CB"/>
    <w:rsid w:val="007C4082"/>
    <w:rsid w:val="007D25FE"/>
    <w:rsid w:val="007D34AE"/>
    <w:rsid w:val="007D358F"/>
    <w:rsid w:val="007F2102"/>
    <w:rsid w:val="007F32E8"/>
    <w:rsid w:val="007F3AAB"/>
    <w:rsid w:val="007F5143"/>
    <w:rsid w:val="007F68E3"/>
    <w:rsid w:val="00800AE9"/>
    <w:rsid w:val="00806C35"/>
    <w:rsid w:val="00807208"/>
    <w:rsid w:val="008110DE"/>
    <w:rsid w:val="00813945"/>
    <w:rsid w:val="00815DEE"/>
    <w:rsid w:val="0082265B"/>
    <w:rsid w:val="0082499D"/>
    <w:rsid w:val="008262D8"/>
    <w:rsid w:val="008268E6"/>
    <w:rsid w:val="00832FCA"/>
    <w:rsid w:val="0083536F"/>
    <w:rsid w:val="008425FA"/>
    <w:rsid w:val="00842E14"/>
    <w:rsid w:val="008431FC"/>
    <w:rsid w:val="00850158"/>
    <w:rsid w:val="00851D3F"/>
    <w:rsid w:val="00852A3C"/>
    <w:rsid w:val="0086116D"/>
    <w:rsid w:val="008617ED"/>
    <w:rsid w:val="00861A3E"/>
    <w:rsid w:val="00861F3C"/>
    <w:rsid w:val="00862B39"/>
    <w:rsid w:val="008636AD"/>
    <w:rsid w:val="0086448E"/>
    <w:rsid w:val="00870AB9"/>
    <w:rsid w:val="0087138C"/>
    <w:rsid w:val="008726BA"/>
    <w:rsid w:val="00875565"/>
    <w:rsid w:val="00875894"/>
    <w:rsid w:val="00881E2D"/>
    <w:rsid w:val="0088708A"/>
    <w:rsid w:val="00891B2C"/>
    <w:rsid w:val="00891BD7"/>
    <w:rsid w:val="00894797"/>
    <w:rsid w:val="008977AD"/>
    <w:rsid w:val="008B19F8"/>
    <w:rsid w:val="008B506F"/>
    <w:rsid w:val="008B6AAB"/>
    <w:rsid w:val="008C170F"/>
    <w:rsid w:val="008C33C1"/>
    <w:rsid w:val="008C7AEC"/>
    <w:rsid w:val="008D0168"/>
    <w:rsid w:val="008D067D"/>
    <w:rsid w:val="008D2894"/>
    <w:rsid w:val="008D295E"/>
    <w:rsid w:val="008D2C3A"/>
    <w:rsid w:val="008D6D3A"/>
    <w:rsid w:val="008E5D7F"/>
    <w:rsid w:val="008F071A"/>
    <w:rsid w:val="008F1B13"/>
    <w:rsid w:val="008F45FD"/>
    <w:rsid w:val="009029DD"/>
    <w:rsid w:val="00902F84"/>
    <w:rsid w:val="00904776"/>
    <w:rsid w:val="00907216"/>
    <w:rsid w:val="009072BB"/>
    <w:rsid w:val="00907736"/>
    <w:rsid w:val="00912ADB"/>
    <w:rsid w:val="0091334E"/>
    <w:rsid w:val="00913837"/>
    <w:rsid w:val="009212B9"/>
    <w:rsid w:val="00921D05"/>
    <w:rsid w:val="00922A85"/>
    <w:rsid w:val="00922B01"/>
    <w:rsid w:val="00924847"/>
    <w:rsid w:val="00927C5C"/>
    <w:rsid w:val="00930BF8"/>
    <w:rsid w:val="009350D4"/>
    <w:rsid w:val="00941827"/>
    <w:rsid w:val="00942474"/>
    <w:rsid w:val="00942B6D"/>
    <w:rsid w:val="009449AD"/>
    <w:rsid w:val="009526CC"/>
    <w:rsid w:val="00953FBF"/>
    <w:rsid w:val="009565DA"/>
    <w:rsid w:val="00962170"/>
    <w:rsid w:val="0096460C"/>
    <w:rsid w:val="00964CF9"/>
    <w:rsid w:val="00971EEB"/>
    <w:rsid w:val="0097397C"/>
    <w:rsid w:val="0097614A"/>
    <w:rsid w:val="0098363E"/>
    <w:rsid w:val="009847FF"/>
    <w:rsid w:val="009866B6"/>
    <w:rsid w:val="00995B7F"/>
    <w:rsid w:val="0099732C"/>
    <w:rsid w:val="009A1AA5"/>
    <w:rsid w:val="009A6986"/>
    <w:rsid w:val="009B0D2E"/>
    <w:rsid w:val="009B2896"/>
    <w:rsid w:val="009B2D28"/>
    <w:rsid w:val="009B4EF5"/>
    <w:rsid w:val="009B7795"/>
    <w:rsid w:val="009C17C4"/>
    <w:rsid w:val="009C4EFF"/>
    <w:rsid w:val="009C780E"/>
    <w:rsid w:val="009D583C"/>
    <w:rsid w:val="009E09CA"/>
    <w:rsid w:val="009E4421"/>
    <w:rsid w:val="009E7A2D"/>
    <w:rsid w:val="009F0ADB"/>
    <w:rsid w:val="009F18BE"/>
    <w:rsid w:val="009F3DD6"/>
    <w:rsid w:val="009F79F2"/>
    <w:rsid w:val="009F7A50"/>
    <w:rsid w:val="00A00A38"/>
    <w:rsid w:val="00A015D5"/>
    <w:rsid w:val="00A05AE4"/>
    <w:rsid w:val="00A05E78"/>
    <w:rsid w:val="00A15BF5"/>
    <w:rsid w:val="00A31FFD"/>
    <w:rsid w:val="00A3262F"/>
    <w:rsid w:val="00A335ED"/>
    <w:rsid w:val="00A37189"/>
    <w:rsid w:val="00A40C6D"/>
    <w:rsid w:val="00A46AB8"/>
    <w:rsid w:val="00A47C26"/>
    <w:rsid w:val="00A53810"/>
    <w:rsid w:val="00A561FE"/>
    <w:rsid w:val="00A56DCF"/>
    <w:rsid w:val="00A5734C"/>
    <w:rsid w:val="00A612FB"/>
    <w:rsid w:val="00A63499"/>
    <w:rsid w:val="00A77306"/>
    <w:rsid w:val="00A836B9"/>
    <w:rsid w:val="00A8420B"/>
    <w:rsid w:val="00A86183"/>
    <w:rsid w:val="00A91436"/>
    <w:rsid w:val="00A927B5"/>
    <w:rsid w:val="00AA1D4F"/>
    <w:rsid w:val="00AA2CD2"/>
    <w:rsid w:val="00AA32CD"/>
    <w:rsid w:val="00AB2808"/>
    <w:rsid w:val="00AB3BCF"/>
    <w:rsid w:val="00AC0ED7"/>
    <w:rsid w:val="00AC193A"/>
    <w:rsid w:val="00AC338F"/>
    <w:rsid w:val="00AC6ECD"/>
    <w:rsid w:val="00AD0403"/>
    <w:rsid w:val="00AD214F"/>
    <w:rsid w:val="00AD5412"/>
    <w:rsid w:val="00AD6354"/>
    <w:rsid w:val="00AD67AB"/>
    <w:rsid w:val="00AD7E06"/>
    <w:rsid w:val="00AE0542"/>
    <w:rsid w:val="00AE2525"/>
    <w:rsid w:val="00AE3138"/>
    <w:rsid w:val="00AE4833"/>
    <w:rsid w:val="00AF4044"/>
    <w:rsid w:val="00AF476C"/>
    <w:rsid w:val="00AF5D43"/>
    <w:rsid w:val="00AF78E4"/>
    <w:rsid w:val="00AF7E37"/>
    <w:rsid w:val="00B01D9A"/>
    <w:rsid w:val="00B10235"/>
    <w:rsid w:val="00B1083B"/>
    <w:rsid w:val="00B1406F"/>
    <w:rsid w:val="00B17F4C"/>
    <w:rsid w:val="00B20CDB"/>
    <w:rsid w:val="00B220CD"/>
    <w:rsid w:val="00B23708"/>
    <w:rsid w:val="00B339C5"/>
    <w:rsid w:val="00B35199"/>
    <w:rsid w:val="00B35487"/>
    <w:rsid w:val="00B423B1"/>
    <w:rsid w:val="00B441DD"/>
    <w:rsid w:val="00B50468"/>
    <w:rsid w:val="00B513CC"/>
    <w:rsid w:val="00B52B7E"/>
    <w:rsid w:val="00B563FD"/>
    <w:rsid w:val="00B62465"/>
    <w:rsid w:val="00B62D01"/>
    <w:rsid w:val="00B65426"/>
    <w:rsid w:val="00B655F3"/>
    <w:rsid w:val="00B6798E"/>
    <w:rsid w:val="00B7598D"/>
    <w:rsid w:val="00B81CFD"/>
    <w:rsid w:val="00B81DDA"/>
    <w:rsid w:val="00B81F6C"/>
    <w:rsid w:val="00B822FC"/>
    <w:rsid w:val="00B84465"/>
    <w:rsid w:val="00B85C70"/>
    <w:rsid w:val="00B96AEC"/>
    <w:rsid w:val="00B97EA7"/>
    <w:rsid w:val="00BA1206"/>
    <w:rsid w:val="00BA25B0"/>
    <w:rsid w:val="00BA63B7"/>
    <w:rsid w:val="00BB16C6"/>
    <w:rsid w:val="00BB391C"/>
    <w:rsid w:val="00BB4752"/>
    <w:rsid w:val="00BB728C"/>
    <w:rsid w:val="00BC04E5"/>
    <w:rsid w:val="00BC0CF7"/>
    <w:rsid w:val="00BC1227"/>
    <w:rsid w:val="00BC48C5"/>
    <w:rsid w:val="00BC546A"/>
    <w:rsid w:val="00BC61DD"/>
    <w:rsid w:val="00BD0636"/>
    <w:rsid w:val="00BD4DA1"/>
    <w:rsid w:val="00BD54B5"/>
    <w:rsid w:val="00BD7B77"/>
    <w:rsid w:val="00BE2F93"/>
    <w:rsid w:val="00BE47CE"/>
    <w:rsid w:val="00BF04BA"/>
    <w:rsid w:val="00BF308E"/>
    <w:rsid w:val="00BF4353"/>
    <w:rsid w:val="00BF5C49"/>
    <w:rsid w:val="00BF605E"/>
    <w:rsid w:val="00BF6534"/>
    <w:rsid w:val="00C00CB3"/>
    <w:rsid w:val="00C0254F"/>
    <w:rsid w:val="00C04811"/>
    <w:rsid w:val="00C04D3C"/>
    <w:rsid w:val="00C07884"/>
    <w:rsid w:val="00C10A89"/>
    <w:rsid w:val="00C16345"/>
    <w:rsid w:val="00C2371E"/>
    <w:rsid w:val="00C248F7"/>
    <w:rsid w:val="00C251A7"/>
    <w:rsid w:val="00C270C0"/>
    <w:rsid w:val="00C27315"/>
    <w:rsid w:val="00C27B3E"/>
    <w:rsid w:val="00C32680"/>
    <w:rsid w:val="00C33EF0"/>
    <w:rsid w:val="00C348A1"/>
    <w:rsid w:val="00C40DC9"/>
    <w:rsid w:val="00C4144B"/>
    <w:rsid w:val="00C4168B"/>
    <w:rsid w:val="00C42419"/>
    <w:rsid w:val="00C44AC4"/>
    <w:rsid w:val="00C44B92"/>
    <w:rsid w:val="00C44CA9"/>
    <w:rsid w:val="00C45BAD"/>
    <w:rsid w:val="00C478DC"/>
    <w:rsid w:val="00C514C4"/>
    <w:rsid w:val="00C557B1"/>
    <w:rsid w:val="00C60BD6"/>
    <w:rsid w:val="00C61150"/>
    <w:rsid w:val="00C6401E"/>
    <w:rsid w:val="00C73DF0"/>
    <w:rsid w:val="00C74262"/>
    <w:rsid w:val="00C75223"/>
    <w:rsid w:val="00C827D1"/>
    <w:rsid w:val="00C968A8"/>
    <w:rsid w:val="00CA05D1"/>
    <w:rsid w:val="00CA3AAA"/>
    <w:rsid w:val="00CA4B69"/>
    <w:rsid w:val="00CA4F45"/>
    <w:rsid w:val="00CB3D3D"/>
    <w:rsid w:val="00CB5BEB"/>
    <w:rsid w:val="00CB78AF"/>
    <w:rsid w:val="00CC03E1"/>
    <w:rsid w:val="00CC05E0"/>
    <w:rsid w:val="00CC3485"/>
    <w:rsid w:val="00CC66AB"/>
    <w:rsid w:val="00CD17AD"/>
    <w:rsid w:val="00CD2530"/>
    <w:rsid w:val="00CD33E3"/>
    <w:rsid w:val="00CD4570"/>
    <w:rsid w:val="00CD51A9"/>
    <w:rsid w:val="00CD63A9"/>
    <w:rsid w:val="00CE0B04"/>
    <w:rsid w:val="00CE0D57"/>
    <w:rsid w:val="00CE1A96"/>
    <w:rsid w:val="00CE765E"/>
    <w:rsid w:val="00CF60B7"/>
    <w:rsid w:val="00CF7FC8"/>
    <w:rsid w:val="00D002F4"/>
    <w:rsid w:val="00D04F91"/>
    <w:rsid w:val="00D07181"/>
    <w:rsid w:val="00D10FD8"/>
    <w:rsid w:val="00D162FC"/>
    <w:rsid w:val="00D165A3"/>
    <w:rsid w:val="00D177EE"/>
    <w:rsid w:val="00D24F6F"/>
    <w:rsid w:val="00D27898"/>
    <w:rsid w:val="00D32964"/>
    <w:rsid w:val="00D32D80"/>
    <w:rsid w:val="00D339C0"/>
    <w:rsid w:val="00D367BE"/>
    <w:rsid w:val="00D41228"/>
    <w:rsid w:val="00D50169"/>
    <w:rsid w:val="00D507DA"/>
    <w:rsid w:val="00D56BCC"/>
    <w:rsid w:val="00D56E74"/>
    <w:rsid w:val="00D60B33"/>
    <w:rsid w:val="00D62BEA"/>
    <w:rsid w:val="00D71797"/>
    <w:rsid w:val="00D742DA"/>
    <w:rsid w:val="00D7627B"/>
    <w:rsid w:val="00D7779A"/>
    <w:rsid w:val="00D80400"/>
    <w:rsid w:val="00D842CB"/>
    <w:rsid w:val="00D84438"/>
    <w:rsid w:val="00D85E27"/>
    <w:rsid w:val="00D864FF"/>
    <w:rsid w:val="00D9322C"/>
    <w:rsid w:val="00D9502B"/>
    <w:rsid w:val="00DA00B9"/>
    <w:rsid w:val="00DA1E6F"/>
    <w:rsid w:val="00DA6ECF"/>
    <w:rsid w:val="00DA7204"/>
    <w:rsid w:val="00DB0584"/>
    <w:rsid w:val="00DB6256"/>
    <w:rsid w:val="00DC6D8E"/>
    <w:rsid w:val="00DD2449"/>
    <w:rsid w:val="00DD3AB3"/>
    <w:rsid w:val="00DE7BB9"/>
    <w:rsid w:val="00DF0D8C"/>
    <w:rsid w:val="00DF2AD1"/>
    <w:rsid w:val="00DF5E1F"/>
    <w:rsid w:val="00E025F6"/>
    <w:rsid w:val="00E02A6D"/>
    <w:rsid w:val="00E03849"/>
    <w:rsid w:val="00E052CC"/>
    <w:rsid w:val="00E06029"/>
    <w:rsid w:val="00E0695A"/>
    <w:rsid w:val="00E07BA0"/>
    <w:rsid w:val="00E10C08"/>
    <w:rsid w:val="00E1280F"/>
    <w:rsid w:val="00E13F7D"/>
    <w:rsid w:val="00E1629A"/>
    <w:rsid w:val="00E16359"/>
    <w:rsid w:val="00E169D8"/>
    <w:rsid w:val="00E17708"/>
    <w:rsid w:val="00E2040E"/>
    <w:rsid w:val="00E214C9"/>
    <w:rsid w:val="00E2463A"/>
    <w:rsid w:val="00E25FC9"/>
    <w:rsid w:val="00E3014D"/>
    <w:rsid w:val="00E305D2"/>
    <w:rsid w:val="00E36D22"/>
    <w:rsid w:val="00E40095"/>
    <w:rsid w:val="00E42F5F"/>
    <w:rsid w:val="00E4747A"/>
    <w:rsid w:val="00E50FCC"/>
    <w:rsid w:val="00E5322C"/>
    <w:rsid w:val="00E55E69"/>
    <w:rsid w:val="00E560B7"/>
    <w:rsid w:val="00E570E7"/>
    <w:rsid w:val="00E607D7"/>
    <w:rsid w:val="00E60F77"/>
    <w:rsid w:val="00E61A76"/>
    <w:rsid w:val="00E62215"/>
    <w:rsid w:val="00E63580"/>
    <w:rsid w:val="00E67FBC"/>
    <w:rsid w:val="00E74BE7"/>
    <w:rsid w:val="00E77042"/>
    <w:rsid w:val="00E80A71"/>
    <w:rsid w:val="00E868F7"/>
    <w:rsid w:val="00E86FD3"/>
    <w:rsid w:val="00E90BC3"/>
    <w:rsid w:val="00EA4549"/>
    <w:rsid w:val="00EA6830"/>
    <w:rsid w:val="00EB037A"/>
    <w:rsid w:val="00EB64BE"/>
    <w:rsid w:val="00EB7762"/>
    <w:rsid w:val="00EC2F0C"/>
    <w:rsid w:val="00EC5237"/>
    <w:rsid w:val="00ED0F58"/>
    <w:rsid w:val="00ED7426"/>
    <w:rsid w:val="00EE37DE"/>
    <w:rsid w:val="00EE683F"/>
    <w:rsid w:val="00EF0889"/>
    <w:rsid w:val="00EF3203"/>
    <w:rsid w:val="00EF390A"/>
    <w:rsid w:val="00EF4801"/>
    <w:rsid w:val="00EF54BD"/>
    <w:rsid w:val="00EF5897"/>
    <w:rsid w:val="00EF58C2"/>
    <w:rsid w:val="00EF62DC"/>
    <w:rsid w:val="00EF78A5"/>
    <w:rsid w:val="00EF7F2D"/>
    <w:rsid w:val="00F14E91"/>
    <w:rsid w:val="00F22229"/>
    <w:rsid w:val="00F26F64"/>
    <w:rsid w:val="00F31F5B"/>
    <w:rsid w:val="00F33EAE"/>
    <w:rsid w:val="00F36903"/>
    <w:rsid w:val="00F37A29"/>
    <w:rsid w:val="00F40A5D"/>
    <w:rsid w:val="00F4151C"/>
    <w:rsid w:val="00F44590"/>
    <w:rsid w:val="00F46ED7"/>
    <w:rsid w:val="00F511B4"/>
    <w:rsid w:val="00F5452C"/>
    <w:rsid w:val="00F54918"/>
    <w:rsid w:val="00F61884"/>
    <w:rsid w:val="00F73BF6"/>
    <w:rsid w:val="00F81DED"/>
    <w:rsid w:val="00F92BF7"/>
    <w:rsid w:val="00F93375"/>
    <w:rsid w:val="00F975DA"/>
    <w:rsid w:val="00FA0314"/>
    <w:rsid w:val="00FA0D2C"/>
    <w:rsid w:val="00FA33A2"/>
    <w:rsid w:val="00FB030A"/>
    <w:rsid w:val="00FC47D3"/>
    <w:rsid w:val="00FC6067"/>
    <w:rsid w:val="00FD0419"/>
    <w:rsid w:val="00FE11E4"/>
    <w:rsid w:val="00FE408A"/>
    <w:rsid w:val="00FF00FB"/>
    <w:rsid w:val="375B8014"/>
    <w:rsid w:val="490E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C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9C"/>
    <w:pPr>
      <w:jc w:val="both"/>
    </w:pPr>
    <w:rPr>
      <w:rFonts w:ascii="Times New Roman" w:hAnsi="Times New Roman"/>
      <w:sz w:val="24"/>
    </w:rPr>
  </w:style>
  <w:style w:type="paragraph" w:styleId="Heading1">
    <w:name w:val="heading 1"/>
    <w:basedOn w:val="Normal"/>
    <w:next w:val="Normal"/>
    <w:link w:val="Heading1Char"/>
    <w:uiPriority w:val="9"/>
    <w:qFormat/>
    <w:rsid w:val="00AC0ED7"/>
    <w:pPr>
      <w:jc w:val="left"/>
      <w:outlineLvl w:val="0"/>
    </w:pPr>
    <w:rPr>
      <w:b/>
      <w:u w:val="single"/>
    </w:rPr>
  </w:style>
  <w:style w:type="paragraph" w:styleId="Heading2">
    <w:name w:val="heading 2"/>
    <w:basedOn w:val="HeadingThree"/>
    <w:next w:val="Normal"/>
    <w:link w:val="Heading2Char"/>
    <w:uiPriority w:val="9"/>
    <w:unhideWhenUsed/>
    <w:qFormat/>
    <w:rsid w:val="0098363E"/>
    <w:pPr>
      <w:outlineLvl w:val="1"/>
    </w:p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rsid w:val="00121C60"/>
    <w:rPr>
      <w:rFonts w:cs="Times New Roman"/>
      <w:szCs w:val="24"/>
      <w:u w:val="single"/>
    </w:rPr>
  </w:style>
  <w:style w:type="paragraph" w:customStyle="1" w:styleId="TextValue">
    <w:name w:val="TextValue"/>
    <w:basedOn w:val="Normal"/>
    <w:link w:val="TextValueChar"/>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rsid w:val="00121C60"/>
    <w:rPr>
      <w:rFonts w:cs="Times New Roman"/>
      <w:b/>
      <w:sz w:val="28"/>
      <w:szCs w:val="28"/>
      <w:lang w:val="fr-BE"/>
    </w:rPr>
  </w:style>
  <w:style w:type="paragraph" w:customStyle="1" w:styleId="CallIdentifier">
    <w:name w:val="CallIdentifier"/>
    <w:basedOn w:val="Normal"/>
    <w:link w:val="CallIdentifierChar"/>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98363E"/>
    <w:rPr>
      <w:rFonts w:ascii="Times New Roman" w:eastAsiaTheme="majorEastAsia" w:hAnsi="Times New Roman" w:cs="Times New Roman"/>
      <w:b/>
      <w:bCs/>
      <w:sz w:val="24"/>
      <w:szCs w:val="28"/>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AC0ED7"/>
    <w:rPr>
      <w:rFonts w:ascii="Times New Roman" w:hAnsi="Times New Roman"/>
      <w:b/>
      <w:sz w:val="24"/>
      <w:u w:val="single"/>
    </w:rPr>
  </w:style>
  <w:style w:type="paragraph" w:styleId="TOCHeading">
    <w:name w:val="TOC Heading"/>
    <w:basedOn w:val="Heading1"/>
    <w:next w:val="Normal"/>
    <w:uiPriority w:val="39"/>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3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EF4801"/>
    <w:pPr>
      <w:tabs>
        <w:tab w:val="right" w:leader="dot" w:pos="9062"/>
      </w:tabs>
      <w:spacing w:before="360"/>
      <w:outlineLvl w:val="9"/>
    </w:pPr>
    <w:rPr>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rsid w:val="001A7A4B"/>
    <w:pPr>
      <w:spacing w:after="0" w:line="240" w:lineRule="auto"/>
    </w:pPr>
    <w:rPr>
      <w:sz w:val="2"/>
      <w:szCs w:val="2"/>
    </w:rPr>
  </w:style>
  <w:style w:type="paragraph" w:customStyle="1" w:styleId="CellTextValue">
    <w:name w:val="CellTextValue"/>
    <w:basedOn w:val="TextValue"/>
    <w:link w:val="CellTextValueChar"/>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rsid w:val="00C16345"/>
  </w:style>
  <w:style w:type="paragraph" w:customStyle="1" w:styleId="HeadingTwo">
    <w:name w:val="HeadingTwo"/>
    <w:basedOn w:val="Heading2"/>
    <w:next w:val="TextValue"/>
    <w:qFormat/>
    <w:rsid w:val="00953FBF"/>
    <w:pPr>
      <w:spacing w:after="200"/>
    </w:p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AF5D43"/>
    <w:rPr>
      <w:color w:val="0088CC"/>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rsid w:val="00DA1E6F"/>
    <w:pPr>
      <w:jc w:val="center"/>
    </w:pPr>
  </w:style>
  <w:style w:type="paragraph" w:customStyle="1" w:styleId="CellTextValueNumeric">
    <w:name w:val="CellTextValueNumeric"/>
    <w:basedOn w:val="CellTextValue"/>
    <w:link w:val="CellTextValueNumericChar"/>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rsid w:val="00472A70"/>
    <w:pPr>
      <w:spacing w:after="120"/>
    </w:pPr>
    <w:rPr>
      <w:b/>
      <w:sz w:val="22"/>
    </w:rPr>
  </w:style>
  <w:style w:type="paragraph" w:customStyle="1" w:styleId="Style1">
    <w:name w:val="Style1"/>
    <w:basedOn w:val="Notice"/>
    <w:rsid w:val="00D10FD8"/>
    <w:pPr>
      <w:jc w:val="center"/>
    </w:pPr>
  </w:style>
  <w:style w:type="paragraph" w:customStyle="1" w:styleId="NoticeTitle">
    <w:name w:val="NoticeTitle"/>
    <w:basedOn w:val="Notice"/>
    <w:rsid w:val="00A5734C"/>
    <w:pPr>
      <w:jc w:val="center"/>
    </w:pPr>
  </w:style>
  <w:style w:type="paragraph" w:customStyle="1" w:styleId="CoverDecision">
    <w:name w:val="CoverDecision"/>
    <w:basedOn w:val="CoverTitle"/>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 w:type="character" w:styleId="CommentReference">
    <w:name w:val="annotation reference"/>
    <w:basedOn w:val="DefaultParagraphFont"/>
    <w:uiPriority w:val="99"/>
    <w:unhideWhenUsed/>
    <w:rsid w:val="008726BA"/>
    <w:rPr>
      <w:sz w:val="16"/>
      <w:szCs w:val="16"/>
    </w:rPr>
  </w:style>
  <w:style w:type="paragraph" w:styleId="CommentText">
    <w:name w:val="annotation text"/>
    <w:basedOn w:val="Normal"/>
    <w:link w:val="CommentTextChar"/>
    <w:unhideWhenUsed/>
    <w:rsid w:val="008726BA"/>
    <w:pPr>
      <w:spacing w:line="240" w:lineRule="auto"/>
    </w:pPr>
    <w:rPr>
      <w:sz w:val="20"/>
      <w:szCs w:val="20"/>
    </w:rPr>
  </w:style>
  <w:style w:type="character" w:customStyle="1" w:styleId="CommentTextChar">
    <w:name w:val="Comment Text Char"/>
    <w:basedOn w:val="DefaultParagraphFont"/>
    <w:link w:val="CommentText"/>
    <w:rsid w:val="008726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26BA"/>
    <w:rPr>
      <w:b/>
      <w:bCs/>
    </w:rPr>
  </w:style>
  <w:style w:type="character" w:customStyle="1" w:styleId="CommentSubjectChar">
    <w:name w:val="Comment Subject Char"/>
    <w:basedOn w:val="CommentTextChar"/>
    <w:link w:val="CommentSubject"/>
    <w:uiPriority w:val="99"/>
    <w:semiHidden/>
    <w:rsid w:val="008726BA"/>
    <w:rPr>
      <w:rFonts w:ascii="Times New Roman" w:hAnsi="Times New Roman"/>
      <w:b/>
      <w:bCs/>
      <w:sz w:val="20"/>
      <w:szCs w:val="20"/>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Schriftart: 9 pt,FoodNot"/>
    <w:basedOn w:val="Normal"/>
    <w:link w:val="FootnoteTextChar"/>
    <w:unhideWhenUsed/>
    <w:rsid w:val="00771EE7"/>
    <w:pPr>
      <w:spacing w:after="0" w:line="240" w:lineRule="auto"/>
    </w:pPr>
    <w:rPr>
      <w:sz w:val="20"/>
      <w:szCs w:val="20"/>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basedOn w:val="DefaultParagraphFont"/>
    <w:link w:val="FootnoteText"/>
    <w:rsid w:val="00771EE7"/>
    <w:rPr>
      <w:rFonts w:ascii="Times New Roman" w:hAnsi="Times New Roman"/>
      <w:sz w:val="20"/>
      <w:szCs w:val="20"/>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nhideWhenUsed/>
    <w:rsid w:val="00771EE7"/>
    <w:rPr>
      <w:vertAlign w:val="superscript"/>
    </w:rPr>
  </w:style>
  <w:style w:type="paragraph" w:customStyle="1" w:styleId="Text1">
    <w:name w:val="Text 1"/>
    <w:basedOn w:val="Normal"/>
    <w:link w:val="Text1Char"/>
    <w:rsid w:val="00771EE7"/>
    <w:pPr>
      <w:tabs>
        <w:tab w:val="left" w:pos="2160"/>
      </w:tabs>
      <w:spacing w:line="240" w:lineRule="auto"/>
      <w:ind w:left="1440"/>
    </w:pPr>
    <w:rPr>
      <w:rFonts w:ascii="Verdana" w:eastAsia="Times New Roman" w:hAnsi="Verdana" w:cs="Times New Roman"/>
      <w:sz w:val="20"/>
      <w:szCs w:val="20"/>
      <w:lang w:eastAsia="en-US"/>
    </w:rPr>
  </w:style>
  <w:style w:type="character" w:customStyle="1" w:styleId="Text1Char">
    <w:name w:val="Text 1 Char"/>
    <w:link w:val="Text1"/>
    <w:rsid w:val="00771EE7"/>
    <w:rPr>
      <w:rFonts w:ascii="Verdana" w:eastAsia="Times New Roman" w:hAnsi="Verdana" w:cs="Times New Roman"/>
      <w:sz w:val="20"/>
      <w:szCs w:val="20"/>
      <w:lang w:eastAsia="en-US"/>
    </w:rPr>
  </w:style>
  <w:style w:type="character" w:styleId="FollowedHyperlink">
    <w:name w:val="FollowedHyperlink"/>
    <w:basedOn w:val="DefaultParagraphFont"/>
    <w:uiPriority w:val="99"/>
    <w:semiHidden/>
    <w:unhideWhenUsed/>
    <w:rsid w:val="00E214C9"/>
    <w:rPr>
      <w:color w:val="800080" w:themeColor="followedHyperlink"/>
      <w:u w:val="single"/>
    </w:rPr>
  </w:style>
  <w:style w:type="paragraph" w:customStyle="1" w:styleId="Default">
    <w:name w:val="Default"/>
    <w:link w:val="DefaultChar"/>
    <w:rsid w:val="00EE37D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E37DE"/>
    <w:pPr>
      <w:spacing w:after="0" w:line="240" w:lineRule="auto"/>
    </w:pPr>
    <w:rPr>
      <w:rFonts w:ascii="Times New Roman" w:hAnsi="Times New Roman"/>
      <w:sz w:val="24"/>
    </w:rPr>
  </w:style>
  <w:style w:type="character" w:customStyle="1" w:styleId="DefaultChar">
    <w:name w:val="Default Char"/>
    <w:link w:val="Default"/>
    <w:rsid w:val="00862B39"/>
    <w:rPr>
      <w:rFonts w:ascii="Times New Roman" w:hAnsi="Times New Roman" w:cs="Times New Roman"/>
      <w:color w:val="000000"/>
      <w:sz w:val="24"/>
      <w:szCs w:val="24"/>
    </w:rPr>
  </w:style>
  <w:style w:type="paragraph" w:styleId="NormalWeb">
    <w:name w:val="Normal (Web)"/>
    <w:basedOn w:val="Normal"/>
    <w:uiPriority w:val="99"/>
    <w:semiHidden/>
    <w:unhideWhenUsed/>
    <w:rsid w:val="000157E7"/>
    <w:rPr>
      <w:rFonts w:cs="Times New Roman"/>
      <w:szCs w:val="24"/>
    </w:rPr>
  </w:style>
  <w:style w:type="paragraph" w:styleId="BodyText">
    <w:name w:val="Body Text"/>
    <w:basedOn w:val="Normal"/>
    <w:link w:val="BodyTextChar"/>
    <w:uiPriority w:val="1"/>
    <w:rsid w:val="00B52B7E"/>
    <w:pPr>
      <w:spacing w:after="120" w:line="240" w:lineRule="auto"/>
    </w:pPr>
    <w:rPr>
      <w:rFonts w:ascii="Verdana" w:eastAsia="Times New Roman" w:hAnsi="Verdana" w:cs="Times New Roman"/>
      <w:sz w:val="20"/>
      <w:szCs w:val="20"/>
      <w:lang w:eastAsia="en-US"/>
    </w:rPr>
  </w:style>
  <w:style w:type="character" w:customStyle="1" w:styleId="BodyTextChar">
    <w:name w:val="Body Text Char"/>
    <w:basedOn w:val="DefaultParagraphFont"/>
    <w:link w:val="BodyText"/>
    <w:uiPriority w:val="1"/>
    <w:rsid w:val="00B52B7E"/>
    <w:rPr>
      <w:rFonts w:ascii="Verdana" w:eastAsia="Times New Roman" w:hAnsi="Verdana" w:cs="Times New Roman"/>
      <w:sz w:val="20"/>
      <w:szCs w:val="20"/>
      <w:lang w:eastAsia="en-US"/>
    </w:rPr>
  </w:style>
  <w:style w:type="paragraph" w:customStyle="1" w:styleId="CommentText1">
    <w:name w:val="Comment Text1"/>
    <w:basedOn w:val="Normal"/>
    <w:next w:val="CommentText"/>
    <w:unhideWhenUsed/>
    <w:rsid w:val="006C35F4"/>
    <w:pPr>
      <w:spacing w:line="240" w:lineRule="auto"/>
    </w:pPr>
    <w:rPr>
      <w:rFonts w:eastAsiaTheme="minorHAnsi"/>
      <w:sz w:val="20"/>
      <w:szCs w:val="20"/>
      <w:lang w:eastAsia="en-US"/>
    </w:rPr>
  </w:style>
  <w:style w:type="paragraph" w:customStyle="1" w:styleId="FootnoteText1">
    <w:name w:val="Footnote Text1"/>
    <w:basedOn w:val="Normal"/>
    <w:next w:val="FootnoteText"/>
    <w:uiPriority w:val="99"/>
    <w:semiHidden/>
    <w:unhideWhenUsed/>
    <w:rsid w:val="006C35F4"/>
    <w:pPr>
      <w:spacing w:after="0" w:line="240" w:lineRule="auto"/>
    </w:pPr>
    <w:rPr>
      <w:rFonts w:eastAsiaTheme="minorHAnsi"/>
      <w:sz w:val="20"/>
      <w:szCs w:val="20"/>
      <w:lang w:eastAsia="en-US"/>
    </w:rPr>
  </w:style>
  <w:style w:type="character" w:customStyle="1" w:styleId="CommentTextChar1">
    <w:name w:val="Comment Text Char1"/>
    <w:basedOn w:val="DefaultParagraphFont"/>
    <w:uiPriority w:val="99"/>
    <w:semiHidden/>
    <w:rsid w:val="006C35F4"/>
    <w:rPr>
      <w:sz w:val="20"/>
      <w:szCs w:val="20"/>
    </w:rPr>
  </w:style>
  <w:style w:type="character" w:customStyle="1" w:styleId="FootnoteTextChar1">
    <w:name w:val="Footnote Text Char1"/>
    <w:basedOn w:val="DefaultParagraphFont"/>
    <w:uiPriority w:val="99"/>
    <w:semiHidden/>
    <w:rsid w:val="006C35F4"/>
    <w:rPr>
      <w:sz w:val="20"/>
      <w:szCs w:val="20"/>
    </w:rPr>
  </w:style>
  <w:style w:type="paragraph" w:customStyle="1" w:styleId="Body">
    <w:name w:val="Body"/>
    <w:rsid w:val="00EF62DC"/>
    <w:pPr>
      <w:pBdr>
        <w:top w:val="nil"/>
        <w:left w:val="nil"/>
        <w:bottom w:val="nil"/>
        <w:right w:val="nil"/>
        <w:between w:val="nil"/>
        <w:bar w:val="nil"/>
      </w:pBdr>
      <w:spacing w:line="240" w:lineRule="auto"/>
      <w:jc w:val="both"/>
    </w:pPr>
    <w:rPr>
      <w:rFonts w:ascii="Verdana" w:eastAsia="Arial Unicode MS" w:hAnsi="Verdana" w:cs="Arial Unicode MS"/>
      <w:color w:val="000000"/>
      <w:sz w:val="20"/>
      <w:szCs w:val="20"/>
      <w:u w:color="000000"/>
      <w:bdr w:val="nil"/>
      <w:lang w:val="fr-FR"/>
    </w:rPr>
  </w:style>
  <w:style w:type="character" w:customStyle="1" w:styleId="Hyperlink3">
    <w:name w:val="Hyperlink.3"/>
    <w:rsid w:val="00EF62DC"/>
  </w:style>
  <w:style w:type="paragraph" w:customStyle="1" w:styleId="CM1">
    <w:name w:val="CM1"/>
    <w:basedOn w:val="Default"/>
    <w:next w:val="Default"/>
    <w:uiPriority w:val="99"/>
    <w:rsid w:val="009029DD"/>
    <w:rPr>
      <w:rFonts w:ascii="EUAlbertina" w:eastAsia="Times New Roman" w:hAnsi="EUAlbertina"/>
      <w:color w:val="auto"/>
    </w:rPr>
  </w:style>
  <w:style w:type="paragraph" w:customStyle="1" w:styleId="Char2">
    <w:name w:val="Char2"/>
    <w:basedOn w:val="Normal"/>
    <w:link w:val="FootnoteReference"/>
    <w:rsid w:val="009029DD"/>
    <w:pPr>
      <w:spacing w:after="160" w:line="240" w:lineRule="exact"/>
      <w:jc w:val="left"/>
    </w:pPr>
    <w:rPr>
      <w:rFonts w:asciiTheme="minorHAnsi" w:hAnsiTheme="minorHAnsi"/>
      <w:sz w:val="22"/>
      <w:vertAlign w:val="superscript"/>
    </w:rPr>
  </w:style>
  <w:style w:type="numbering" w:customStyle="1" w:styleId="NoList1">
    <w:name w:val="No List1"/>
    <w:next w:val="NoList"/>
    <w:uiPriority w:val="99"/>
    <w:semiHidden/>
    <w:unhideWhenUsed/>
    <w:rsid w:val="00C60BD6"/>
  </w:style>
  <w:style w:type="table" w:customStyle="1" w:styleId="TableGrid1">
    <w:name w:val="Table Grid1"/>
    <w:basedOn w:val="TableNormal"/>
    <w:next w:val="TableGrid"/>
    <w:uiPriority w:val="39"/>
    <w:rsid w:val="00C6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60BD6"/>
  </w:style>
  <w:style w:type="table" w:customStyle="1" w:styleId="TableGrid2">
    <w:name w:val="Table Grid2"/>
    <w:basedOn w:val="TableNormal"/>
    <w:next w:val="TableGrid"/>
    <w:uiPriority w:val="39"/>
    <w:rsid w:val="00C6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1443">
      <w:bodyDiv w:val="1"/>
      <w:marLeft w:val="0"/>
      <w:marRight w:val="0"/>
      <w:marTop w:val="0"/>
      <w:marBottom w:val="0"/>
      <w:divBdr>
        <w:top w:val="none" w:sz="0" w:space="0" w:color="auto"/>
        <w:left w:val="none" w:sz="0" w:space="0" w:color="auto"/>
        <w:bottom w:val="none" w:sz="0" w:space="0" w:color="auto"/>
        <w:right w:val="none" w:sz="0" w:space="0" w:color="auto"/>
      </w:divBdr>
    </w:div>
    <w:div w:id="166478266">
      <w:bodyDiv w:val="1"/>
      <w:marLeft w:val="0"/>
      <w:marRight w:val="0"/>
      <w:marTop w:val="0"/>
      <w:marBottom w:val="0"/>
      <w:divBdr>
        <w:top w:val="none" w:sz="0" w:space="0" w:color="auto"/>
        <w:left w:val="none" w:sz="0" w:space="0" w:color="auto"/>
        <w:bottom w:val="none" w:sz="0" w:space="0" w:color="auto"/>
        <w:right w:val="none" w:sz="0" w:space="0" w:color="auto"/>
      </w:divBdr>
    </w:div>
    <w:div w:id="248463240">
      <w:bodyDiv w:val="1"/>
      <w:marLeft w:val="0"/>
      <w:marRight w:val="0"/>
      <w:marTop w:val="0"/>
      <w:marBottom w:val="0"/>
      <w:divBdr>
        <w:top w:val="none" w:sz="0" w:space="0" w:color="auto"/>
        <w:left w:val="none" w:sz="0" w:space="0" w:color="auto"/>
        <w:bottom w:val="none" w:sz="0" w:space="0" w:color="auto"/>
        <w:right w:val="none" w:sz="0" w:space="0" w:color="auto"/>
      </w:divBdr>
    </w:div>
    <w:div w:id="377634002">
      <w:bodyDiv w:val="1"/>
      <w:marLeft w:val="0"/>
      <w:marRight w:val="0"/>
      <w:marTop w:val="0"/>
      <w:marBottom w:val="0"/>
      <w:divBdr>
        <w:top w:val="none" w:sz="0" w:space="0" w:color="auto"/>
        <w:left w:val="none" w:sz="0" w:space="0" w:color="auto"/>
        <w:bottom w:val="none" w:sz="0" w:space="0" w:color="auto"/>
        <w:right w:val="none" w:sz="0" w:space="0" w:color="auto"/>
      </w:divBdr>
    </w:div>
    <w:div w:id="778839695">
      <w:bodyDiv w:val="1"/>
      <w:marLeft w:val="0"/>
      <w:marRight w:val="0"/>
      <w:marTop w:val="0"/>
      <w:marBottom w:val="0"/>
      <w:divBdr>
        <w:top w:val="none" w:sz="0" w:space="0" w:color="auto"/>
        <w:left w:val="none" w:sz="0" w:space="0" w:color="auto"/>
        <w:bottom w:val="none" w:sz="0" w:space="0" w:color="auto"/>
        <w:right w:val="none" w:sz="0" w:space="0" w:color="auto"/>
      </w:divBdr>
    </w:div>
    <w:div w:id="901138275">
      <w:bodyDiv w:val="1"/>
      <w:marLeft w:val="0"/>
      <w:marRight w:val="0"/>
      <w:marTop w:val="0"/>
      <w:marBottom w:val="0"/>
      <w:divBdr>
        <w:top w:val="none" w:sz="0" w:space="0" w:color="auto"/>
        <w:left w:val="none" w:sz="0" w:space="0" w:color="auto"/>
        <w:bottom w:val="none" w:sz="0" w:space="0" w:color="auto"/>
        <w:right w:val="none" w:sz="0" w:space="0" w:color="auto"/>
      </w:divBdr>
    </w:div>
    <w:div w:id="1239511742">
      <w:bodyDiv w:val="1"/>
      <w:marLeft w:val="0"/>
      <w:marRight w:val="0"/>
      <w:marTop w:val="0"/>
      <w:marBottom w:val="0"/>
      <w:divBdr>
        <w:top w:val="none" w:sz="0" w:space="0" w:color="auto"/>
        <w:left w:val="none" w:sz="0" w:space="0" w:color="auto"/>
        <w:bottom w:val="none" w:sz="0" w:space="0" w:color="auto"/>
        <w:right w:val="none" w:sz="0" w:space="0" w:color="auto"/>
      </w:divBdr>
    </w:div>
    <w:div w:id="1560820711">
      <w:bodyDiv w:val="1"/>
      <w:marLeft w:val="0"/>
      <w:marRight w:val="0"/>
      <w:marTop w:val="0"/>
      <w:marBottom w:val="0"/>
      <w:divBdr>
        <w:top w:val="none" w:sz="0" w:space="0" w:color="auto"/>
        <w:left w:val="none" w:sz="0" w:space="0" w:color="auto"/>
        <w:bottom w:val="none" w:sz="0" w:space="0" w:color="auto"/>
        <w:right w:val="none" w:sz="0" w:space="0" w:color="auto"/>
      </w:divBdr>
    </w:div>
    <w:div w:id="1615749758">
      <w:bodyDiv w:val="1"/>
      <w:marLeft w:val="0"/>
      <w:marRight w:val="0"/>
      <w:marTop w:val="0"/>
      <w:marBottom w:val="0"/>
      <w:divBdr>
        <w:top w:val="none" w:sz="0" w:space="0" w:color="auto"/>
        <w:left w:val="none" w:sz="0" w:space="0" w:color="auto"/>
        <w:bottom w:val="none" w:sz="0" w:space="0" w:color="auto"/>
        <w:right w:val="none" w:sz="0" w:space="0" w:color="auto"/>
      </w:divBdr>
    </w:div>
    <w:div w:id="1668751964">
      <w:bodyDiv w:val="1"/>
      <w:marLeft w:val="0"/>
      <w:marRight w:val="0"/>
      <w:marTop w:val="0"/>
      <w:marBottom w:val="0"/>
      <w:divBdr>
        <w:top w:val="none" w:sz="0" w:space="0" w:color="auto"/>
        <w:left w:val="none" w:sz="0" w:space="0" w:color="auto"/>
        <w:bottom w:val="none" w:sz="0" w:space="0" w:color="auto"/>
        <w:right w:val="none" w:sz="0" w:space="0" w:color="auto"/>
      </w:divBdr>
    </w:div>
    <w:div w:id="1801875909">
      <w:bodyDiv w:val="1"/>
      <w:marLeft w:val="0"/>
      <w:marRight w:val="0"/>
      <w:marTop w:val="0"/>
      <w:marBottom w:val="0"/>
      <w:divBdr>
        <w:top w:val="none" w:sz="0" w:space="0" w:color="auto"/>
        <w:left w:val="none" w:sz="0" w:space="0" w:color="auto"/>
        <w:bottom w:val="none" w:sz="0" w:space="0" w:color="auto"/>
        <w:right w:val="none" w:sz="0" w:space="0" w:color="auto"/>
      </w:divBdr>
    </w:div>
    <w:div w:id="1835951615">
      <w:bodyDiv w:val="1"/>
      <w:marLeft w:val="0"/>
      <w:marRight w:val="0"/>
      <w:marTop w:val="0"/>
      <w:marBottom w:val="0"/>
      <w:divBdr>
        <w:top w:val="none" w:sz="0" w:space="0" w:color="auto"/>
        <w:left w:val="none" w:sz="0" w:space="0" w:color="auto"/>
        <w:bottom w:val="none" w:sz="0" w:space="0" w:color="auto"/>
        <w:right w:val="none" w:sz="0" w:space="0" w:color="auto"/>
      </w:divBdr>
    </w:div>
    <w:div w:id="1887177689">
      <w:bodyDiv w:val="1"/>
      <w:marLeft w:val="0"/>
      <w:marRight w:val="0"/>
      <w:marTop w:val="0"/>
      <w:marBottom w:val="0"/>
      <w:divBdr>
        <w:top w:val="none" w:sz="0" w:space="0" w:color="auto"/>
        <w:left w:val="none" w:sz="0" w:space="0" w:color="auto"/>
        <w:bottom w:val="none" w:sz="0" w:space="0" w:color="auto"/>
        <w:right w:val="none" w:sz="0" w:space="0" w:color="auto"/>
      </w:divBdr>
    </w:div>
    <w:div w:id="1907521448">
      <w:bodyDiv w:val="1"/>
      <w:marLeft w:val="0"/>
      <w:marRight w:val="0"/>
      <w:marTop w:val="0"/>
      <w:marBottom w:val="0"/>
      <w:divBdr>
        <w:top w:val="none" w:sz="0" w:space="0" w:color="auto"/>
        <w:left w:val="none" w:sz="0" w:space="0" w:color="auto"/>
        <w:bottom w:val="none" w:sz="0" w:space="0" w:color="auto"/>
        <w:right w:val="none" w:sz="0" w:space="0" w:color="auto"/>
      </w:divBdr>
    </w:div>
    <w:div w:id="1943493212">
      <w:bodyDiv w:val="1"/>
      <w:marLeft w:val="0"/>
      <w:marRight w:val="0"/>
      <w:marTop w:val="0"/>
      <w:marBottom w:val="0"/>
      <w:divBdr>
        <w:top w:val="none" w:sz="0" w:space="0" w:color="auto"/>
        <w:left w:val="none" w:sz="0" w:space="0" w:color="auto"/>
        <w:bottom w:val="none" w:sz="0" w:space="0" w:color="auto"/>
        <w:right w:val="none" w:sz="0" w:space="0" w:color="auto"/>
      </w:divBdr>
    </w:div>
    <w:div w:id="2120906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funding-tenders/opportunities/portal/screen/how-to-participate/participant-register" TargetMode="External"/><Relationship Id="rId18" Type="http://schemas.openxmlformats.org/officeDocument/2006/relationships/hyperlink" Target="http://eur-lex.europa.eu/legal-content/EN/TXT/PDF/?uri=OJ:JOL_2015_072_R_0011&amp;qid=1427204240846&amp;from=EN" TargetMode="External"/><Relationship Id="rId26" Type="http://schemas.openxmlformats.org/officeDocument/2006/relationships/image" Target="media/image4.png"/><Relationship Id="rId39" Type="http://schemas.openxmlformats.org/officeDocument/2006/relationships/header" Target="header1.xml"/><Relationship Id="rId21" Type="http://schemas.openxmlformats.org/officeDocument/2006/relationships/hyperlink" Target="http://eur-lex.europa.eu/legal-content/EN/ALL/?uri=CELEX:31995R2988&amp;qid=1501598622514" TargetMode="External"/><Relationship Id="rId34" Type="http://schemas.openxmlformats.org/officeDocument/2006/relationships/hyperlink" Target="https://eur-lex.europa.eu/legal-content/EN/ALL/?uri=CELEX:32018R1725&amp;qid=1547993085271" TargetMode="External"/><Relationship Id="rId42" Type="http://schemas.openxmlformats.org/officeDocument/2006/relationships/footer" Target="footer2.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info/funding-tenders/opportunities/docs/2021-2027/common/guidance/rules-lev-lear-fca_en.pdf" TargetMode="External"/><Relationship Id="rId29" Type="http://schemas.openxmlformats.org/officeDocument/2006/relationships/hyperlink" Target="https://ec.europa.eu/info/funding-tenders/opportunities/docs/2021-2027/common/ftp/tc_en.pdf" TargetMode="External"/><Relationship Id="rId11" Type="http://schemas.openxmlformats.org/officeDocument/2006/relationships/image" Target="media/image2.png"/><Relationship Id="rId24" Type="http://schemas.openxmlformats.org/officeDocument/2006/relationships/hyperlink" Target="https://ec.europa.eu/info/funding-tenders/opportunities/docs/2021-2027/common/agr-contr/general-mga_horizon-euratom_en.pdf" TargetMode="External"/><Relationship Id="rId32" Type="http://schemas.openxmlformats.org/officeDocument/2006/relationships/hyperlink" Target="https://eur-lex.europa.eu/legal-content/EN/ALL/?uri=CELEX:32018R1046&amp;qid=1535046024012" TargetMode="External"/><Relationship Id="rId37" Type="http://schemas.openxmlformats.org/officeDocument/2006/relationships/hyperlink" Target="https://ec.europa.eu/budget/fts/index_en.ht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ec.europa.eu/info/funding-tenders/opportunities/docs/2021-2027/common/ftp/tc_en.pdf" TargetMode="External"/><Relationship Id="rId28" Type="http://schemas.openxmlformats.org/officeDocument/2006/relationships/hyperlink" Target="https://ec.europa.eu/info/funding-tenders/opportunities/portal/screen/how-to-participate/participant-register" TargetMode="External"/><Relationship Id="rId36" Type="http://schemas.openxmlformats.org/officeDocument/2006/relationships/hyperlink" Target="https://eur-lex.europa.eu/legal-content/EN/ALL/?uri=CELEX:32018R1046&amp;qid=1535046024012" TargetMode="External"/><Relationship Id="rId49" Type="http://schemas.openxmlformats.org/officeDocument/2006/relationships/customXml" Target="../customXml/item4.xml"/><Relationship Id="rId10" Type="http://schemas.openxmlformats.org/officeDocument/2006/relationships/hyperlink" Target="https://ec.europa.eu/info/funding-tenders/opportunities/docs/2021-2027/common/guidance/aga_en.pdf" TargetMode="External"/><Relationship Id="rId19" Type="http://schemas.openxmlformats.org/officeDocument/2006/relationships/hyperlink" Target="https://ec.europa.eu/info/funding-tenders/opportunities/portal/screen/how-to-participate/participant-register" TargetMode="External"/><Relationship Id="rId31" Type="http://schemas.openxmlformats.org/officeDocument/2006/relationships/hyperlink" Target="https://ec.europa.eu/info/funding-tenders/opportunities/docs/2021-2027/common/guidance/aga_en.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info/funding-tenders/opportunities/docs/2021-2027/common/guidance/om_en.pdf" TargetMode="External"/><Relationship Id="rId14" Type="http://schemas.openxmlformats.org/officeDocument/2006/relationships/hyperlink" Target="http://www.sanctionsmap.eu/" TargetMode="External"/><Relationship Id="rId2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27" Type="http://schemas.openxmlformats.org/officeDocument/2006/relationships/hyperlink" Target="https://ec.europa.eu/info/funding-tenders/opportunities/docs/2021-2027/common/ftp/tc_en.pdf" TargetMode="External"/><Relationship Id="rId30" Type="http://schemas.openxmlformats.org/officeDocument/2006/relationships/hyperlink" Target="https://ec.europa.eu/info/funding-tenders/opportunities/portal/screen/how-to-participate/participant-register" TargetMode="External"/><Relationship Id="rId35" Type="http://schemas.openxmlformats.org/officeDocument/2006/relationships/hyperlink" Target="https://ec.europa.eu/info/funding-tenders/opportunities/docs/2021-2027/common/guidance/aga_en.pdf" TargetMode="External"/><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hyperlink" Target="https://ec.europa.eu/info/funding-tenders/opportunities/docs/2021-2027/horizon/guidance/programme-guide_horizon_en.pdf" TargetMode="External"/><Relationship Id="rId3" Type="http://schemas.openxmlformats.org/officeDocument/2006/relationships/styles" Target="styles.xml"/><Relationship Id="rId1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17" Type="http://schemas.openxmlformats.org/officeDocument/2006/relationships/hyperlink" Target="https://ec.europa.eu/info/funding-tenders/opportunities/docs/2021-2027/horizon/guidance/programme-guide_horizon_en.pdf" TargetMode="External"/><Relationship Id="rId25" Type="http://schemas.openxmlformats.org/officeDocument/2006/relationships/hyperlink" Target="https://ec.europa.eu/info/funding-tenders/opportunities/docs/2021-2027/common/guidance/aga_en.pdf" TargetMode="External"/><Relationship Id="rId33" Type="http://schemas.openxmlformats.org/officeDocument/2006/relationships/hyperlink" Target="https://ec.europa.eu/budget/fts/index_en.htm" TargetMode="External"/><Relationship Id="rId38" Type="http://schemas.openxmlformats.org/officeDocument/2006/relationships/hyperlink" Target="https://eur-lex.europa.eu/legal-content/EN/ALL/?uri=CELEX:32018R1725&amp;qid=1547993085271" TargetMode="External"/><Relationship Id="rId46" Type="http://schemas.openxmlformats.org/officeDocument/2006/relationships/theme" Target="theme/theme1.xml"/><Relationship Id="rId20" Type="http://schemas.openxmlformats.org/officeDocument/2006/relationships/hyperlink" Target="https://ec.europa.eu/info/funding-tenders/opportunities/docs/2021-2027/common/guidance/rules-lev-lear-fca_e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docs/2021-2027/horizon/guidance/programme-guide_horizon_en.pdf" TargetMode="External"/><Relationship Id="rId13" Type="http://schemas.openxmlformats.org/officeDocument/2006/relationships/hyperlink" Target="https://ec.europa.eu/info/research-and-innovation/funding/funding-opportunities/seal-excellence_en" TargetMode="External"/><Relationship Id="rId3" Type="http://schemas.openxmlformats.org/officeDocument/2006/relationships/hyperlink" Target="https://eur-lex.europa.eu/legal-content/EN/ALL/?uri=CELEX:32018R1046&amp;qid=1535046024012" TargetMode="External"/><Relationship Id="rId7" Type="http://schemas.openxmlformats.org/officeDocument/2006/relationships/hyperlink" Target="https://ec.europa.eu/info/funding-tenders/opportunities/docs/2021-2027/horizon/guidance/programme-guide_horizon_en.pdf" TargetMode="External"/><Relationship Id="rId12" Type="http://schemas.openxmlformats.org/officeDocument/2006/relationships/hyperlink" Target="https://eur-lex.europa.eu/legal-content/EN/ALL/?uri=CELEX:32018R1046&amp;qid=1535046024012"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eur-lex.europa.eu/LexUriServ/LexUriServ.do?uri=OJ:C:2013:205:FULL:EN:PDF"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www.sanctionsmap.eu/"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gal-content/EN/ALL/?uri=CELEX:32018R1046&amp;qid=1535046024012" TargetMode="External"/><Relationship Id="rId9" Type="http://schemas.openxmlformats.org/officeDocument/2006/relationships/hyperlink" Target="https://ec.europa.eu/info/funding-tenders/opportunities/docs/2021-2027/horizon/guidance/programme-guide_horizon_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18F24F2D4E8140A461B5DCD99F9D2E" ma:contentTypeVersion="11" ma:contentTypeDescription="Create a new document." ma:contentTypeScope="" ma:versionID="128f7f20a34de7a4f12ce3563a5d953b">
  <xsd:schema xmlns:xsd="http://www.w3.org/2001/XMLSchema" xmlns:xs="http://www.w3.org/2001/XMLSchema" xmlns:p="http://schemas.microsoft.com/office/2006/metadata/properties" xmlns:ns2="a5835c61-ca2e-49ee-8dca-a76e9f0344a3" xmlns:ns3="ba7bd860-1739-4001-af8a-147771a6eb05" targetNamespace="http://schemas.microsoft.com/office/2006/metadata/properties" ma:root="true" ma:fieldsID="d682ec7d4d9572c5b0c6487b8944f776" ns2:_="" ns3:_="">
    <xsd:import namespace="a5835c61-ca2e-49ee-8dca-a76e9f0344a3"/>
    <xsd:import namespace="ba7bd860-1739-4001-af8a-147771a6e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5c61-ca2e-49ee-8dca-a76e9f034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bd860-1739-4001-af8a-147771a6eb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E8819-C77B-403E-88A4-BB952BC55045}">
  <ds:schemaRefs>
    <ds:schemaRef ds:uri="http://schemas.openxmlformats.org/officeDocument/2006/bibliography"/>
  </ds:schemaRefs>
</ds:datastoreItem>
</file>

<file path=customXml/itemProps2.xml><?xml version="1.0" encoding="utf-8"?>
<ds:datastoreItem xmlns:ds="http://schemas.openxmlformats.org/officeDocument/2006/customXml" ds:itemID="{4446D0C2-DC4A-4D7C-BC28-9BF4012D9DE2}"/>
</file>

<file path=customXml/itemProps3.xml><?xml version="1.0" encoding="utf-8"?>
<ds:datastoreItem xmlns:ds="http://schemas.openxmlformats.org/officeDocument/2006/customXml" ds:itemID="{B34E3DDC-69A8-440D-8C17-D363AEC02733}"/>
</file>

<file path=customXml/itemProps4.xml><?xml version="1.0" encoding="utf-8"?>
<ds:datastoreItem xmlns:ds="http://schemas.openxmlformats.org/officeDocument/2006/customXml" ds:itemID="{8635CD4D-F030-4A46-925D-D6357FD4ABF9}"/>
</file>

<file path=docProps/app.xml><?xml version="1.0" encoding="utf-8"?>
<Properties xmlns="http://schemas.openxmlformats.org/officeDocument/2006/extended-properties" xmlns:vt="http://schemas.openxmlformats.org/officeDocument/2006/docPropsVTypes">
  <Template>Normal</Template>
  <TotalTime>0</TotalTime>
  <Pages>40</Pages>
  <Words>12538</Words>
  <Characters>70340</Characters>
  <Application>Microsoft Office Word</Application>
  <DocSecurity>0</DocSecurity>
  <Lines>1529</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2021-03-15T08:35:00Z</dcterms:created>
  <dcterms:modified xsi:type="dcterms:W3CDTF">2021-03-15T08:36:00Z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0x0101008B18F24F2D4E8140A461B5DCD99F9D2E</vt:lpwstr>
  </property>
</Properties>
</file>